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0AE974">
      <w:pPr>
        <w:jc w:val="center"/>
        <w:rPr>
          <w:rFonts w:hint="eastAsia" w:ascii="宋体" w:hAnsi="宋体" w:eastAsia="宋体"/>
          <w:b/>
          <w:color w:val="auto"/>
          <w:sz w:val="44"/>
          <w:szCs w:val="44"/>
        </w:rPr>
      </w:pPr>
      <w:r>
        <w:rPr>
          <w:rFonts w:hint="eastAsia" w:ascii="宋体" w:hAnsi="宋体" w:eastAsia="宋体"/>
          <w:b/>
          <w:color w:val="auto"/>
          <w:sz w:val="44"/>
          <w:szCs w:val="44"/>
        </w:rPr>
        <w:t>项目需求书</w:t>
      </w:r>
    </w:p>
    <w:p w14:paraId="1D22A015">
      <w:pPr>
        <w:pStyle w:val="9"/>
        <w:numPr>
          <w:ilvl w:val="0"/>
          <w:numId w:val="1"/>
        </w:numPr>
        <w:ind w:firstLineChars="0"/>
        <w:rPr>
          <w:rFonts w:ascii="仿宋" w:hAnsi="仿宋" w:eastAsia="仿宋"/>
          <w:b/>
          <w:color w:val="auto"/>
          <w:sz w:val="32"/>
          <w:szCs w:val="32"/>
        </w:rPr>
      </w:pPr>
      <w:r>
        <w:rPr>
          <w:rFonts w:hint="eastAsia" w:ascii="仿宋" w:hAnsi="仿宋" w:eastAsia="仿宋"/>
          <w:b/>
          <w:color w:val="auto"/>
          <w:sz w:val="32"/>
          <w:szCs w:val="32"/>
        </w:rPr>
        <w:t>项目说明</w:t>
      </w:r>
    </w:p>
    <w:p w14:paraId="6FE96FDD">
      <w:pPr>
        <w:rPr>
          <w:rFonts w:ascii="仿宋" w:hAnsi="仿宋" w:eastAsia="仿宋"/>
          <w:color w:val="auto"/>
          <w:sz w:val="32"/>
          <w:szCs w:val="32"/>
        </w:rPr>
      </w:pPr>
      <w:r>
        <w:rPr>
          <w:rFonts w:hint="eastAsia" w:ascii="仿宋" w:hAnsi="仿宋" w:eastAsia="仿宋"/>
          <w:color w:val="auto"/>
          <w:sz w:val="32"/>
          <w:szCs w:val="32"/>
        </w:rPr>
        <w:t>开发内容：</w:t>
      </w:r>
    </w:p>
    <w:tbl>
      <w:tblPr>
        <w:tblStyle w:val="6"/>
        <w:tblW w:w="105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440"/>
        <w:gridCol w:w="5518"/>
        <w:gridCol w:w="875"/>
        <w:gridCol w:w="813"/>
        <w:gridCol w:w="1231"/>
      </w:tblGrid>
      <w:tr w14:paraId="6605F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704" w:type="dxa"/>
            <w:vAlign w:val="center"/>
          </w:tcPr>
          <w:p w14:paraId="7F3F3F84">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序号</w:t>
            </w:r>
          </w:p>
        </w:tc>
        <w:tc>
          <w:tcPr>
            <w:tcW w:w="1440" w:type="dxa"/>
            <w:vAlign w:val="center"/>
          </w:tcPr>
          <w:p w14:paraId="482F1F32">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项目内容</w:t>
            </w:r>
          </w:p>
        </w:tc>
        <w:tc>
          <w:tcPr>
            <w:tcW w:w="5518" w:type="dxa"/>
            <w:vAlign w:val="center"/>
          </w:tcPr>
          <w:p w14:paraId="6F77FA5F">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★交货期</w:t>
            </w:r>
          </w:p>
        </w:tc>
        <w:tc>
          <w:tcPr>
            <w:tcW w:w="875" w:type="dxa"/>
            <w:vAlign w:val="center"/>
          </w:tcPr>
          <w:p w14:paraId="05736B65">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单位</w:t>
            </w:r>
          </w:p>
        </w:tc>
        <w:tc>
          <w:tcPr>
            <w:tcW w:w="813" w:type="dxa"/>
            <w:vAlign w:val="center"/>
          </w:tcPr>
          <w:p w14:paraId="4B127573">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数量</w:t>
            </w:r>
          </w:p>
        </w:tc>
        <w:tc>
          <w:tcPr>
            <w:tcW w:w="1231" w:type="dxa"/>
            <w:vAlign w:val="center"/>
          </w:tcPr>
          <w:p w14:paraId="7ACB0B4D">
            <w:pPr>
              <w:adjustRightInd w:val="0"/>
              <w:snapToGrid w:val="0"/>
              <w:spacing w:line="360" w:lineRule="auto"/>
              <w:jc w:val="center"/>
              <w:rPr>
                <w:rFonts w:ascii="仿宋" w:hAnsi="仿宋" w:eastAsia="仿宋"/>
                <w:bCs/>
                <w:color w:val="auto"/>
                <w:sz w:val="24"/>
              </w:rPr>
            </w:pPr>
            <w:bookmarkStart w:id="0" w:name="_Hlk62807223"/>
            <w:r>
              <w:rPr>
                <w:rFonts w:hint="eastAsia" w:ascii="仿宋" w:hAnsi="仿宋" w:eastAsia="仿宋"/>
                <w:bCs/>
                <w:color w:val="auto"/>
                <w:sz w:val="24"/>
              </w:rPr>
              <w:t>项目预算</w:t>
            </w:r>
            <w:bookmarkEnd w:id="0"/>
          </w:p>
          <w:p w14:paraId="27FEDBE4">
            <w:pPr>
              <w:adjustRightInd w:val="0"/>
              <w:snapToGrid w:val="0"/>
              <w:spacing w:line="360" w:lineRule="auto"/>
              <w:jc w:val="center"/>
              <w:rPr>
                <w:rFonts w:ascii="仿宋" w:hAnsi="仿宋" w:eastAsia="仿宋"/>
                <w:color w:val="auto"/>
              </w:rPr>
            </w:pPr>
            <w:r>
              <w:rPr>
                <w:rFonts w:hint="eastAsia" w:ascii="仿宋" w:hAnsi="仿宋" w:eastAsia="仿宋"/>
                <w:bCs/>
                <w:color w:val="auto"/>
                <w:sz w:val="24"/>
              </w:rPr>
              <w:t>（万元）</w:t>
            </w:r>
          </w:p>
        </w:tc>
      </w:tr>
      <w:tr w14:paraId="22B07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3" w:hRule="atLeast"/>
          <w:jc w:val="center"/>
        </w:trPr>
        <w:tc>
          <w:tcPr>
            <w:tcW w:w="704" w:type="dxa"/>
            <w:vAlign w:val="center"/>
          </w:tcPr>
          <w:p w14:paraId="3937264F">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1</w:t>
            </w:r>
          </w:p>
        </w:tc>
        <w:tc>
          <w:tcPr>
            <w:tcW w:w="1440" w:type="dxa"/>
            <w:vAlign w:val="center"/>
          </w:tcPr>
          <w:p w14:paraId="70FA4799">
            <w:pPr>
              <w:adjustRightInd w:val="0"/>
              <w:snapToGrid w:val="0"/>
              <w:spacing w:line="360" w:lineRule="auto"/>
              <w:jc w:val="center"/>
              <w:rPr>
                <w:rFonts w:hint="eastAsia" w:ascii="仿宋" w:hAnsi="仿宋" w:eastAsia="仿宋"/>
                <w:color w:val="auto"/>
                <w:sz w:val="24"/>
                <w:lang w:val="en-US" w:eastAsia="zh-Hans"/>
              </w:rPr>
            </w:pPr>
            <w:r>
              <w:rPr>
                <w:rFonts w:hint="eastAsia" w:ascii="仿宋" w:hAnsi="仿宋" w:eastAsia="仿宋"/>
                <w:color w:val="auto"/>
                <w:sz w:val="24"/>
              </w:rPr>
              <w:t>申报数据采集系统</w:t>
            </w:r>
          </w:p>
        </w:tc>
        <w:tc>
          <w:tcPr>
            <w:tcW w:w="5518" w:type="dxa"/>
            <w:vAlign w:val="center"/>
          </w:tcPr>
          <w:p w14:paraId="6EAE4DA0">
            <w:pPr>
              <w:adjustRightInd w:val="0"/>
              <w:snapToGrid w:val="0"/>
              <w:spacing w:line="360" w:lineRule="auto"/>
              <w:jc w:val="left"/>
              <w:rPr>
                <w:rFonts w:ascii="仿宋" w:hAnsi="仿宋" w:eastAsia="仿宋"/>
                <w:bCs/>
                <w:color w:val="auto"/>
                <w:sz w:val="24"/>
              </w:rPr>
            </w:pPr>
            <w:r>
              <w:rPr>
                <w:rFonts w:hint="eastAsia" w:ascii="仿宋" w:hAnsi="仿宋" w:eastAsia="仿宋"/>
                <w:bCs/>
                <w:color w:val="auto"/>
                <w:sz w:val="24"/>
              </w:rPr>
              <w:t>合同签订生效后</w:t>
            </w:r>
            <w:r>
              <w:rPr>
                <w:rFonts w:hint="default" w:ascii="仿宋" w:hAnsi="仿宋" w:eastAsia="仿宋"/>
                <w:bCs/>
                <w:color w:val="auto"/>
                <w:sz w:val="24"/>
              </w:rPr>
              <w:t>4</w:t>
            </w:r>
            <w:r>
              <w:rPr>
                <w:rFonts w:hint="eastAsia" w:ascii="仿宋" w:hAnsi="仿宋" w:eastAsia="仿宋"/>
                <w:bCs/>
                <w:color w:val="auto"/>
                <w:sz w:val="24"/>
              </w:rPr>
              <w:t>个月内完成业务需求整理分析、系统的功能建设并投入实际试运行。（如因不可抗力因素，与需求方协商调整交货期）</w:t>
            </w:r>
          </w:p>
        </w:tc>
        <w:tc>
          <w:tcPr>
            <w:tcW w:w="875" w:type="dxa"/>
            <w:vAlign w:val="center"/>
          </w:tcPr>
          <w:p w14:paraId="1EF2C4C3">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项目</w:t>
            </w:r>
          </w:p>
        </w:tc>
        <w:tc>
          <w:tcPr>
            <w:tcW w:w="813" w:type="dxa"/>
            <w:vAlign w:val="center"/>
          </w:tcPr>
          <w:p w14:paraId="51B9C170">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1</w:t>
            </w:r>
          </w:p>
        </w:tc>
        <w:tc>
          <w:tcPr>
            <w:tcW w:w="1231" w:type="dxa"/>
            <w:vAlign w:val="center"/>
          </w:tcPr>
          <w:p w14:paraId="3028496F">
            <w:pPr>
              <w:adjustRightInd w:val="0"/>
              <w:snapToGrid w:val="0"/>
              <w:spacing w:line="360" w:lineRule="auto"/>
              <w:jc w:val="center"/>
              <w:rPr>
                <w:rFonts w:hint="default" w:ascii="仿宋" w:hAnsi="仿宋" w:eastAsia="仿宋"/>
                <w:bCs/>
                <w:color w:val="auto"/>
                <w:sz w:val="24"/>
                <w:lang w:val="en-US" w:eastAsia="zh-CN"/>
              </w:rPr>
            </w:pPr>
            <w:r>
              <w:rPr>
                <w:rFonts w:hint="eastAsia" w:ascii="仿宋" w:hAnsi="仿宋" w:eastAsia="仿宋"/>
                <w:bCs/>
                <w:color w:val="auto"/>
                <w:sz w:val="24"/>
                <w:lang w:val="en-US" w:eastAsia="zh-CN"/>
              </w:rPr>
              <w:t>2.8405</w:t>
            </w:r>
          </w:p>
        </w:tc>
      </w:tr>
    </w:tbl>
    <w:p w14:paraId="24F454C1">
      <w:pPr>
        <w:jc w:val="center"/>
        <w:rPr>
          <w:rFonts w:hint="eastAsia" w:ascii="宋体" w:hAnsi="宋体" w:eastAsia="宋体"/>
          <w:b/>
          <w:color w:val="auto"/>
          <w:sz w:val="44"/>
          <w:szCs w:val="44"/>
        </w:rPr>
      </w:pPr>
    </w:p>
    <w:p w14:paraId="42CB2B1A">
      <w:pPr>
        <w:pStyle w:val="9"/>
        <w:numPr>
          <w:ilvl w:val="0"/>
          <w:numId w:val="1"/>
        </w:numPr>
        <w:ind w:firstLineChars="0"/>
        <w:rPr>
          <w:rFonts w:ascii="仿宋" w:hAnsi="仿宋" w:eastAsia="仿宋"/>
          <w:b/>
          <w:color w:val="auto"/>
          <w:sz w:val="32"/>
          <w:szCs w:val="32"/>
        </w:rPr>
      </w:pPr>
      <w:bookmarkStart w:id="1" w:name="_Toc729"/>
      <w:bookmarkStart w:id="2" w:name="_Toc14693"/>
      <w:r>
        <w:rPr>
          <w:rFonts w:hint="eastAsia" w:ascii="仿宋" w:hAnsi="仿宋" w:eastAsia="仿宋"/>
          <w:b/>
          <w:color w:val="auto"/>
          <w:sz w:val="32"/>
          <w:szCs w:val="32"/>
        </w:rPr>
        <w:t>项目基本概况</w:t>
      </w:r>
      <w:bookmarkStart w:id="3" w:name="_GoBack"/>
      <w:bookmarkEnd w:id="3"/>
    </w:p>
    <w:p w14:paraId="64ACE1A1">
      <w:pPr>
        <w:pStyle w:val="8"/>
        <w:numPr>
          <w:ilvl w:val="0"/>
          <w:numId w:val="0"/>
        </w:numPr>
        <w:spacing w:line="360" w:lineRule="auto"/>
        <w:ind w:leftChars="0"/>
        <w:outlineLvl w:val="0"/>
        <w:rPr>
          <w:rFonts w:hint="default" w:ascii="Helvetica Neue" w:hAnsi="Helvetica Neue" w:eastAsia="Helvetica Neue" w:cs="Helvetica Neue"/>
          <w:i w:val="0"/>
          <w:iCs w:val="0"/>
          <w:caps w:val="0"/>
          <w:color w:val="1C1917"/>
          <w:spacing w:val="0"/>
          <w:sz w:val="27"/>
          <w:szCs w:val="27"/>
        </w:rPr>
      </w:pPr>
      <w:r>
        <w:rPr>
          <w:rFonts w:hint="eastAsia" w:ascii="Helvetica Neue" w:hAnsi="Helvetica Neue" w:eastAsia="宋体" w:cs="Helvetica Neue"/>
          <w:i w:val="0"/>
          <w:iCs w:val="0"/>
          <w:caps w:val="0"/>
          <w:color w:val="1C1917"/>
          <w:spacing w:val="0"/>
          <w:sz w:val="27"/>
          <w:szCs w:val="27"/>
          <w:lang w:val="en-US" w:eastAsia="zh-CN"/>
        </w:rPr>
        <w:t>构建</w:t>
      </w:r>
      <w:r>
        <w:rPr>
          <w:rFonts w:hint="default" w:ascii="Helvetica Neue" w:hAnsi="Helvetica Neue" w:eastAsia="宋体" w:cs="Helvetica Neue"/>
          <w:i w:val="0"/>
          <w:iCs w:val="0"/>
          <w:caps w:val="0"/>
          <w:color w:val="1C1917"/>
          <w:spacing w:val="0"/>
          <w:sz w:val="27"/>
          <w:szCs w:val="27"/>
          <w:lang w:val="en-US" w:eastAsia="zh-CN"/>
        </w:rPr>
        <w:t>面向本科层次职业</w:t>
      </w:r>
      <w:r>
        <w:rPr>
          <w:rFonts w:hint="eastAsia" w:ascii="Helvetica Neue" w:hAnsi="Helvetica Neue" w:cs="Helvetica Neue"/>
          <w:i w:val="0"/>
          <w:iCs w:val="0"/>
          <w:caps w:val="0"/>
          <w:color w:val="1C1917"/>
          <w:spacing w:val="0"/>
          <w:sz w:val="27"/>
          <w:szCs w:val="27"/>
          <w:lang w:val="en-US" w:eastAsia="zh-CN"/>
        </w:rPr>
        <w:t>学校的</w:t>
      </w:r>
      <w:r>
        <w:rPr>
          <w:rFonts w:hint="default" w:ascii="Helvetica Neue" w:hAnsi="Helvetica Neue" w:eastAsia="宋体" w:cs="Helvetica Neue"/>
          <w:i w:val="0"/>
          <w:iCs w:val="0"/>
          <w:caps w:val="0"/>
          <w:color w:val="1C1917"/>
          <w:spacing w:val="0"/>
          <w:sz w:val="27"/>
          <w:szCs w:val="27"/>
          <w:lang w:val="en-US" w:eastAsia="zh-CN"/>
        </w:rPr>
        <w:t>综合性申报数据采集管理系统，主要用于支撑学校的</w:t>
      </w:r>
      <w:r>
        <w:rPr>
          <w:rFonts w:hint="eastAsia" w:ascii="Helvetica Neue" w:hAnsi="Helvetica Neue" w:eastAsia="宋体" w:cs="Helvetica Neue"/>
          <w:i w:val="0"/>
          <w:iCs w:val="0"/>
          <w:caps w:val="0"/>
          <w:color w:val="1C1917"/>
          <w:spacing w:val="0"/>
          <w:sz w:val="27"/>
          <w:szCs w:val="27"/>
          <w:lang w:val="en-US" w:eastAsia="zh-CN"/>
        </w:rPr>
        <w:t>职业本科申报</w:t>
      </w:r>
      <w:r>
        <w:rPr>
          <w:rFonts w:hint="eastAsia" w:ascii="Helvetica Neue" w:hAnsi="Helvetica Neue" w:cs="Helvetica Neue"/>
          <w:i w:val="0"/>
          <w:iCs w:val="0"/>
          <w:caps w:val="0"/>
          <w:color w:val="1C1917"/>
          <w:spacing w:val="0"/>
          <w:sz w:val="27"/>
          <w:szCs w:val="27"/>
          <w:lang w:val="en-US" w:eastAsia="zh-CN"/>
        </w:rPr>
        <w:t>与管理</w:t>
      </w:r>
      <w:r>
        <w:rPr>
          <w:rFonts w:hint="eastAsia" w:ascii="Helvetica Neue" w:hAnsi="Helvetica Neue" w:eastAsia="宋体" w:cs="Helvetica Neue"/>
          <w:i w:val="0"/>
          <w:iCs w:val="0"/>
          <w:caps w:val="0"/>
          <w:color w:val="1C1917"/>
          <w:spacing w:val="0"/>
          <w:sz w:val="27"/>
          <w:szCs w:val="27"/>
          <w:lang w:val="en-US" w:eastAsia="zh-CN"/>
        </w:rPr>
        <w:t>工作</w:t>
      </w:r>
      <w:r>
        <w:rPr>
          <w:rFonts w:hint="default" w:ascii="Helvetica Neue" w:hAnsi="Helvetica Neue" w:eastAsia="宋体" w:cs="Helvetica Neue"/>
          <w:i w:val="0"/>
          <w:iCs w:val="0"/>
          <w:caps w:val="0"/>
          <w:color w:val="1C1917"/>
          <w:spacing w:val="0"/>
          <w:sz w:val="27"/>
          <w:szCs w:val="27"/>
          <w:lang w:val="en-US" w:eastAsia="zh-CN"/>
        </w:rPr>
        <w:t>。系统涵盖学校设置标准及达成情况监测、学校申报材料体系管理、专业设置标准和达成情况监测、专业申报材料体系管理、年度重点任务跟踪、重难点任务推进情况管理等核心业务功能，能够全面管理从学校层面到专业层面的各类申报数据和材料。同时配备了完整的系统管理功能，包括用户权限管理、角色分配、字典维护、操作日志等，确保数据的规范性和安全性。该系统通过数字化手段，帮助高校规范化管理申报流程，提高数据采集效率，为学校的本科教育质量提升和专业建设提供有力的信息化支撑</w:t>
      </w:r>
      <w:r>
        <w:rPr>
          <w:rFonts w:hint="default" w:ascii="Helvetica Neue" w:hAnsi="Helvetica Neue" w:eastAsia="Helvetica Neue" w:cs="Helvetica Neue"/>
          <w:i w:val="0"/>
          <w:iCs w:val="0"/>
          <w:caps w:val="0"/>
          <w:color w:val="1C1917"/>
          <w:spacing w:val="0"/>
          <w:sz w:val="27"/>
          <w:szCs w:val="27"/>
        </w:rPr>
        <w:t>。</w:t>
      </w:r>
    </w:p>
    <w:p w14:paraId="041ACA1A">
      <w:pPr>
        <w:pStyle w:val="9"/>
        <w:numPr>
          <w:ilvl w:val="0"/>
          <w:numId w:val="1"/>
        </w:numPr>
        <w:ind w:firstLineChars="0"/>
        <w:rPr>
          <w:rFonts w:hint="eastAsia" w:ascii="仿宋" w:hAnsi="仿宋" w:eastAsia="仿宋"/>
          <w:b/>
          <w:color w:val="auto"/>
          <w:sz w:val="32"/>
          <w:szCs w:val="32"/>
        </w:rPr>
      </w:pPr>
      <w:r>
        <w:rPr>
          <w:rFonts w:hint="eastAsia" w:ascii="仿宋" w:hAnsi="仿宋" w:eastAsia="仿宋"/>
          <w:b/>
          <w:color w:val="auto"/>
          <w:sz w:val="32"/>
          <w:szCs w:val="32"/>
        </w:rPr>
        <w:t>系统需求</w:t>
      </w:r>
      <w:bookmarkEnd w:id="1"/>
      <w:bookmarkEnd w:id="2"/>
    </w:p>
    <w:tbl>
      <w:tblPr>
        <w:tblStyle w:val="6"/>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289"/>
        <w:gridCol w:w="2267"/>
        <w:gridCol w:w="3964"/>
      </w:tblGrid>
      <w:tr w14:paraId="17DF74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08" w:hRule="atLeast"/>
        </w:trPr>
        <w:tc>
          <w:tcPr>
            <w:tcW w:w="1343" w:type="pct"/>
            <w:tcBorders>
              <w:top w:val="single" w:color="000000" w:sz="4" w:space="0"/>
              <w:left w:val="single" w:color="000000" w:sz="4" w:space="0"/>
              <w:bottom w:val="single" w:color="000000" w:sz="4" w:space="0"/>
              <w:right w:val="single" w:color="000000" w:sz="4" w:space="0"/>
            </w:tcBorders>
            <w:shd w:val="clear" w:color="auto" w:fill="76933C"/>
            <w:noWrap/>
            <w:vAlign w:val="center"/>
          </w:tcPr>
          <w:p w14:paraId="04367353">
            <w:pPr>
              <w:keepNext w:val="0"/>
              <w:keepLines w:val="0"/>
              <w:widowControl/>
              <w:suppressLineNumbers w:val="0"/>
              <w:jc w:val="left"/>
              <w:textAlignment w:val="center"/>
              <w:rPr>
                <w:rFonts w:ascii="微软雅黑" w:hAnsi="微软雅黑" w:eastAsia="微软雅黑" w:cs="微软雅黑"/>
                <w:i w:val="0"/>
                <w:iCs w:val="0"/>
                <w:color w:val="FFFFFF"/>
                <w:sz w:val="28"/>
                <w:szCs w:val="28"/>
                <w:u w:val="none"/>
              </w:rPr>
            </w:pPr>
            <w:r>
              <w:rPr>
                <w:rFonts w:hint="default" w:ascii="微软雅黑" w:hAnsi="微软雅黑" w:eastAsia="微软雅黑" w:cs="微软雅黑"/>
                <w:i w:val="0"/>
                <w:iCs w:val="0"/>
                <w:color w:val="FFFFFF"/>
                <w:kern w:val="0"/>
                <w:sz w:val="28"/>
                <w:szCs w:val="28"/>
                <w:u w:val="none"/>
                <w:lang w:val="en-US" w:eastAsia="zh-CN" w:bidi="ar"/>
              </w:rPr>
              <w:t>模块</w:t>
            </w:r>
          </w:p>
        </w:tc>
        <w:tc>
          <w:tcPr>
            <w:tcW w:w="1330" w:type="pct"/>
            <w:tcBorders>
              <w:top w:val="single" w:color="000000" w:sz="4" w:space="0"/>
              <w:left w:val="single" w:color="000000" w:sz="4" w:space="0"/>
              <w:bottom w:val="single" w:color="000000" w:sz="4" w:space="0"/>
              <w:right w:val="single" w:color="000000" w:sz="4" w:space="0"/>
            </w:tcBorders>
            <w:shd w:val="clear" w:color="auto" w:fill="76933C"/>
            <w:noWrap/>
            <w:vAlign w:val="center"/>
          </w:tcPr>
          <w:p w14:paraId="3CE3165F">
            <w:pPr>
              <w:keepNext w:val="0"/>
              <w:keepLines w:val="0"/>
              <w:widowControl/>
              <w:suppressLineNumbers w:val="0"/>
              <w:jc w:val="left"/>
              <w:textAlignment w:val="center"/>
              <w:rPr>
                <w:rFonts w:hint="default" w:ascii="微软雅黑" w:hAnsi="微软雅黑" w:eastAsia="微软雅黑" w:cs="微软雅黑"/>
                <w:i w:val="0"/>
                <w:iCs w:val="0"/>
                <w:color w:val="FFFFFF"/>
                <w:sz w:val="28"/>
                <w:szCs w:val="28"/>
                <w:u w:val="none"/>
              </w:rPr>
            </w:pPr>
            <w:r>
              <w:rPr>
                <w:rFonts w:hint="default" w:ascii="微软雅黑" w:hAnsi="微软雅黑" w:eastAsia="微软雅黑" w:cs="微软雅黑"/>
                <w:i w:val="0"/>
                <w:iCs w:val="0"/>
                <w:color w:val="FFFFFF"/>
                <w:kern w:val="0"/>
                <w:sz w:val="28"/>
                <w:szCs w:val="28"/>
                <w:u w:val="none"/>
                <w:lang w:val="en-US" w:eastAsia="zh-CN" w:bidi="ar"/>
              </w:rPr>
              <w:t>功能项</w:t>
            </w:r>
          </w:p>
        </w:tc>
        <w:tc>
          <w:tcPr>
            <w:tcW w:w="2326" w:type="pct"/>
            <w:tcBorders>
              <w:top w:val="single" w:color="000000" w:sz="4" w:space="0"/>
              <w:left w:val="single" w:color="000000" w:sz="4" w:space="0"/>
              <w:bottom w:val="single" w:color="000000" w:sz="4" w:space="0"/>
              <w:right w:val="single" w:color="000000" w:sz="4" w:space="0"/>
            </w:tcBorders>
            <w:shd w:val="clear" w:color="auto" w:fill="76933C"/>
            <w:noWrap/>
            <w:vAlign w:val="center"/>
          </w:tcPr>
          <w:p w14:paraId="23B85505">
            <w:pPr>
              <w:keepNext w:val="0"/>
              <w:keepLines w:val="0"/>
              <w:widowControl/>
              <w:suppressLineNumbers w:val="0"/>
              <w:jc w:val="left"/>
              <w:textAlignment w:val="center"/>
              <w:rPr>
                <w:rFonts w:hint="default" w:ascii="微软雅黑" w:hAnsi="微软雅黑" w:eastAsia="微软雅黑" w:cs="微软雅黑"/>
                <w:i w:val="0"/>
                <w:iCs w:val="0"/>
                <w:color w:val="FFFFFF"/>
                <w:sz w:val="28"/>
                <w:szCs w:val="28"/>
                <w:u w:val="none"/>
              </w:rPr>
            </w:pPr>
            <w:r>
              <w:rPr>
                <w:rFonts w:hint="default" w:ascii="微软雅黑" w:hAnsi="微软雅黑" w:eastAsia="微软雅黑" w:cs="微软雅黑"/>
                <w:i w:val="0"/>
                <w:iCs w:val="0"/>
                <w:color w:val="FFFFFF"/>
                <w:kern w:val="0"/>
                <w:sz w:val="28"/>
                <w:szCs w:val="28"/>
                <w:u w:val="none"/>
                <w:lang w:val="en-US" w:eastAsia="zh-CN" w:bidi="ar"/>
              </w:rPr>
              <w:t>说明</w:t>
            </w:r>
          </w:p>
        </w:tc>
      </w:tr>
      <w:tr w14:paraId="4643E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134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93EA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本科业务管理</w:t>
            </w:r>
          </w:p>
        </w:tc>
        <w:tc>
          <w:tcPr>
            <w:tcW w:w="1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1938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学校设置标准及达成情况</w:t>
            </w:r>
          </w:p>
        </w:tc>
        <w:tc>
          <w:tcPr>
            <w:tcW w:w="2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2A47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展示与管理学校设置标准及达成情况，支持数据增删改查、导入导出，模块字段为：一级指标、指标说明、设置标准、完成情况、时间节点、达标情况、负责部门、一级指标顺序、指标内容顺序、上传材料；</w:t>
            </w:r>
          </w:p>
        </w:tc>
      </w:tr>
      <w:tr w14:paraId="1C008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34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CB9633">
            <w:pPr>
              <w:jc w:val="center"/>
              <w:rPr>
                <w:rFonts w:hint="eastAsia" w:ascii="宋体" w:hAnsi="宋体" w:eastAsia="宋体" w:cs="宋体"/>
                <w:i w:val="0"/>
                <w:iCs w:val="0"/>
                <w:color w:val="000000"/>
                <w:sz w:val="22"/>
                <w:szCs w:val="22"/>
                <w:u w:val="none"/>
              </w:rPr>
            </w:pPr>
          </w:p>
        </w:tc>
        <w:tc>
          <w:tcPr>
            <w:tcW w:w="1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AC3E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学校申报材料体系及完成情况</w:t>
            </w:r>
          </w:p>
        </w:tc>
        <w:tc>
          <w:tcPr>
            <w:tcW w:w="2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A736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管理学校申报材料上传、进度记录，支持材料上传、导入导出；模块字段为：任务、材料名称、负责部门、完成状态、计划完成时限、问题说明、任务顺序、任务内容顺序、材料上传；</w:t>
            </w:r>
          </w:p>
        </w:tc>
      </w:tr>
      <w:tr w14:paraId="7416E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0" w:hRule="atLeast"/>
        </w:trPr>
        <w:tc>
          <w:tcPr>
            <w:tcW w:w="134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BBEEB8">
            <w:pPr>
              <w:jc w:val="center"/>
              <w:rPr>
                <w:rFonts w:hint="eastAsia" w:ascii="宋体" w:hAnsi="宋体" w:eastAsia="宋体" w:cs="宋体"/>
                <w:i w:val="0"/>
                <w:iCs w:val="0"/>
                <w:color w:val="000000"/>
                <w:sz w:val="22"/>
                <w:szCs w:val="22"/>
                <w:u w:val="none"/>
              </w:rPr>
            </w:pPr>
          </w:p>
        </w:tc>
        <w:tc>
          <w:tcPr>
            <w:tcW w:w="1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F4DE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专业设置标准和达成情况</w:t>
            </w:r>
          </w:p>
        </w:tc>
        <w:tc>
          <w:tcPr>
            <w:tcW w:w="2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1847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管理各专业的标准设置与达成情况，含数据管理与导出功能；模块字段为：申请专业、授予学位、依托专业、教师队伍、对接产业、专业基础、专任教师、高级职称教师占比、正高职称教师数、"双师型"教师占比、师生比、研究生学位教师占比、博士学位教师占比、兼职教师、兼职教师占比、承担专业课课时/专业课总课时、省级以上教科研团队及个人荣誉奖励、本专业在校生、稳定合作的产教融合型企业数、稳定合作的规模以上企业数、实质性运行校企合作项目、生均教学科研仪器设备值、省级实践教育示范基地、校外实训基地数、校内实训基地数、省级以上科研平台、市厅级科研平台、省级以上科研项目、市厅级科研项目、主持横向项目、到账科研经费、授权发明专利、高水平论文与著作、近五年职业培训、每年职业培训人次/本专业在校生、招生计划完成率、新生平均报到率、应届毕业生就业率、省域平均就业率、省级以上学生获奖、省级以上教学成果奖、省级以上教学资源库、省级以上精品课程、国家专业教学标准、省级以上规划教材、团体/行业标准、省级以上教改项目、省级以上教学能力比赛；</w:t>
            </w:r>
          </w:p>
        </w:tc>
      </w:tr>
      <w:tr w14:paraId="653B36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34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7CBE72">
            <w:pPr>
              <w:jc w:val="center"/>
              <w:rPr>
                <w:rFonts w:hint="eastAsia" w:ascii="宋体" w:hAnsi="宋体" w:eastAsia="宋体" w:cs="宋体"/>
                <w:i w:val="0"/>
                <w:iCs w:val="0"/>
                <w:color w:val="000000"/>
                <w:sz w:val="22"/>
                <w:szCs w:val="22"/>
                <w:u w:val="none"/>
              </w:rPr>
            </w:pPr>
          </w:p>
        </w:tc>
        <w:tc>
          <w:tcPr>
            <w:tcW w:w="1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B806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专业申报材料体系及完成情况</w:t>
            </w:r>
          </w:p>
        </w:tc>
        <w:tc>
          <w:tcPr>
            <w:tcW w:w="2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3B0BF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专业材料上传与体系管理，支持编辑、上传、导出导入；模块字段为：任务、申请专业、材料名称、完成状态、问题说明、材料上传；</w:t>
            </w:r>
          </w:p>
        </w:tc>
      </w:tr>
      <w:tr w14:paraId="68991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34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F28656">
            <w:pPr>
              <w:jc w:val="center"/>
              <w:rPr>
                <w:rFonts w:hint="eastAsia" w:ascii="宋体" w:hAnsi="宋体" w:eastAsia="宋体" w:cs="宋体"/>
                <w:i w:val="0"/>
                <w:iCs w:val="0"/>
                <w:color w:val="000000"/>
                <w:sz w:val="22"/>
                <w:szCs w:val="22"/>
                <w:u w:val="none"/>
              </w:rPr>
            </w:pPr>
          </w:p>
        </w:tc>
        <w:tc>
          <w:tcPr>
            <w:tcW w:w="1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08B7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2025年度重点任务完成情况</w:t>
            </w:r>
          </w:p>
        </w:tc>
        <w:tc>
          <w:tcPr>
            <w:tcW w:w="2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ADF4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年度重点任务拆解、进度更新、完成情况管理；模块字段为：任务类别、序号、任务内容、牵头部门、完成情况、情况说明、预期完成时间、任务类别顺序、任务内容顺序；</w:t>
            </w:r>
          </w:p>
        </w:tc>
      </w:tr>
      <w:tr w14:paraId="40EA03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134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AC4C69">
            <w:pPr>
              <w:jc w:val="center"/>
              <w:rPr>
                <w:rFonts w:hint="eastAsia" w:ascii="宋体" w:hAnsi="宋体" w:eastAsia="宋体" w:cs="宋体"/>
                <w:i w:val="0"/>
                <w:iCs w:val="0"/>
                <w:color w:val="000000"/>
                <w:sz w:val="22"/>
                <w:szCs w:val="22"/>
                <w:u w:val="none"/>
              </w:rPr>
            </w:pPr>
          </w:p>
        </w:tc>
        <w:tc>
          <w:tcPr>
            <w:tcW w:w="1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934C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重难点任务推进情况</w:t>
            </w:r>
          </w:p>
        </w:tc>
        <w:tc>
          <w:tcPr>
            <w:tcW w:w="2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B04F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管理重难点任务进展，支持上传过程材料、记录阶段性成果；模块字段为：指标名称、一级指标顺序、指标说明、指标内容顺序、完成情况说明；并对以下数据在学校设置标准及达成情况中的填写进行监控和同步数据到重难点任务推进情况中：1.1 土地面积确权、1.2 建筑面积确权、1.3 教学科研行政用房确权、教学成果类推进情况、面向行业企业和社会开展职业培训人次、4.1 横向技术服务到款、4.2 培训到款；</w:t>
            </w:r>
          </w:p>
        </w:tc>
      </w:tr>
      <w:tr w14:paraId="48BD2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34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4378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系统管理</w:t>
            </w:r>
          </w:p>
        </w:tc>
        <w:tc>
          <w:tcPr>
            <w:tcW w:w="1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8BB5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业务操作日志</w:t>
            </w:r>
          </w:p>
        </w:tc>
        <w:tc>
          <w:tcPr>
            <w:tcW w:w="2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888E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记录用户操作行为，支持按条件查询、过滤</w:t>
            </w:r>
          </w:p>
        </w:tc>
      </w:tr>
      <w:tr w14:paraId="5012C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34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E746D2">
            <w:pPr>
              <w:jc w:val="center"/>
              <w:rPr>
                <w:rFonts w:hint="eastAsia" w:ascii="宋体" w:hAnsi="宋体" w:eastAsia="宋体" w:cs="宋体"/>
                <w:i w:val="0"/>
                <w:iCs w:val="0"/>
                <w:color w:val="000000"/>
                <w:sz w:val="22"/>
                <w:szCs w:val="22"/>
                <w:u w:val="none"/>
              </w:rPr>
            </w:pPr>
          </w:p>
        </w:tc>
        <w:tc>
          <w:tcPr>
            <w:tcW w:w="1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B654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字典管理</w:t>
            </w:r>
          </w:p>
        </w:tc>
        <w:tc>
          <w:tcPr>
            <w:tcW w:w="2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5FF2A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管理各业务用字典项，支持字典类型与子项维护</w:t>
            </w:r>
          </w:p>
        </w:tc>
      </w:tr>
      <w:tr w14:paraId="0EED9A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134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BE93CC">
            <w:pPr>
              <w:jc w:val="center"/>
              <w:rPr>
                <w:rFonts w:hint="eastAsia" w:ascii="宋体" w:hAnsi="宋体" w:eastAsia="宋体" w:cs="宋体"/>
                <w:i w:val="0"/>
                <w:iCs w:val="0"/>
                <w:color w:val="000000"/>
                <w:sz w:val="22"/>
                <w:szCs w:val="22"/>
                <w:u w:val="none"/>
              </w:rPr>
            </w:pPr>
          </w:p>
        </w:tc>
        <w:tc>
          <w:tcPr>
            <w:tcW w:w="1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BE53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角色管理</w:t>
            </w:r>
          </w:p>
        </w:tc>
        <w:tc>
          <w:tcPr>
            <w:tcW w:w="2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E43DC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系统角色定义、权限绑定，支持编辑、分配</w:t>
            </w:r>
          </w:p>
        </w:tc>
      </w:tr>
      <w:tr w14:paraId="302F3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34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ABE75C">
            <w:pPr>
              <w:jc w:val="center"/>
              <w:rPr>
                <w:rFonts w:hint="eastAsia" w:ascii="宋体" w:hAnsi="宋体" w:eastAsia="宋体" w:cs="宋体"/>
                <w:i w:val="0"/>
                <w:iCs w:val="0"/>
                <w:color w:val="000000"/>
                <w:sz w:val="22"/>
                <w:szCs w:val="22"/>
                <w:u w:val="none"/>
              </w:rPr>
            </w:pPr>
          </w:p>
        </w:tc>
        <w:tc>
          <w:tcPr>
            <w:tcW w:w="1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8671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菜单管理</w:t>
            </w:r>
          </w:p>
        </w:tc>
        <w:tc>
          <w:tcPr>
            <w:tcW w:w="2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38E20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系统菜单结构配置、权限绑定、顺序调整</w:t>
            </w:r>
          </w:p>
        </w:tc>
      </w:tr>
      <w:tr w14:paraId="2F73DA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34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DE4C3D">
            <w:pPr>
              <w:jc w:val="center"/>
              <w:rPr>
                <w:rFonts w:hint="eastAsia" w:ascii="宋体" w:hAnsi="宋体" w:eastAsia="宋体" w:cs="宋体"/>
                <w:i w:val="0"/>
                <w:iCs w:val="0"/>
                <w:color w:val="000000"/>
                <w:sz w:val="22"/>
                <w:szCs w:val="22"/>
                <w:u w:val="none"/>
              </w:rPr>
            </w:pPr>
          </w:p>
        </w:tc>
        <w:tc>
          <w:tcPr>
            <w:tcW w:w="1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A374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用户列表</w:t>
            </w:r>
          </w:p>
        </w:tc>
        <w:tc>
          <w:tcPr>
            <w:tcW w:w="2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5BF8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用户新增、禁用、分配角色、导入导出</w:t>
            </w:r>
          </w:p>
        </w:tc>
      </w:tr>
      <w:tr w14:paraId="485DB0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34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A622CD">
            <w:pPr>
              <w:jc w:val="center"/>
              <w:rPr>
                <w:rFonts w:hint="eastAsia" w:ascii="宋体" w:hAnsi="宋体" w:eastAsia="宋体" w:cs="宋体"/>
                <w:i w:val="0"/>
                <w:iCs w:val="0"/>
                <w:color w:val="000000"/>
                <w:sz w:val="22"/>
                <w:szCs w:val="22"/>
                <w:u w:val="none"/>
              </w:rPr>
            </w:pPr>
          </w:p>
        </w:tc>
        <w:tc>
          <w:tcPr>
            <w:tcW w:w="1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59BE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字典数据</w:t>
            </w:r>
          </w:p>
        </w:tc>
        <w:tc>
          <w:tcPr>
            <w:tcW w:w="2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6C345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各业务模块使用的字典数据项维护</w:t>
            </w:r>
          </w:p>
        </w:tc>
      </w:tr>
      <w:tr w14:paraId="3C6084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134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B71835">
            <w:pPr>
              <w:jc w:val="center"/>
              <w:rPr>
                <w:rFonts w:hint="eastAsia" w:ascii="宋体" w:hAnsi="宋体" w:eastAsia="宋体" w:cs="宋体"/>
                <w:i w:val="0"/>
                <w:iCs w:val="0"/>
                <w:color w:val="000000"/>
                <w:sz w:val="22"/>
                <w:szCs w:val="22"/>
                <w:u w:val="none"/>
              </w:rPr>
            </w:pPr>
          </w:p>
        </w:tc>
        <w:tc>
          <w:tcPr>
            <w:tcW w:w="1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280D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本科专业列表</w:t>
            </w:r>
          </w:p>
        </w:tc>
        <w:tc>
          <w:tcPr>
            <w:tcW w:w="2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678FB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本科专业基础信息管理，支持导入导出</w:t>
            </w:r>
          </w:p>
        </w:tc>
      </w:tr>
      <w:tr w14:paraId="5AB947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00" w:hRule="atLeast"/>
        </w:trPr>
        <w:tc>
          <w:tcPr>
            <w:tcW w:w="134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CE78CB">
            <w:pPr>
              <w:jc w:val="center"/>
              <w:rPr>
                <w:rFonts w:hint="eastAsia" w:ascii="宋体" w:hAnsi="宋体" w:eastAsia="宋体" w:cs="宋体"/>
                <w:i w:val="0"/>
                <w:iCs w:val="0"/>
                <w:color w:val="000000"/>
                <w:sz w:val="22"/>
                <w:szCs w:val="22"/>
                <w:u w:val="none"/>
              </w:rPr>
            </w:pPr>
          </w:p>
        </w:tc>
        <w:tc>
          <w:tcPr>
            <w:tcW w:w="1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051A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部门列表</w:t>
            </w:r>
          </w:p>
        </w:tc>
        <w:tc>
          <w:tcPr>
            <w:tcW w:w="2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14CF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部门结构维护，支持层级结构展示、编辑、删除</w:t>
            </w:r>
          </w:p>
        </w:tc>
      </w:tr>
    </w:tbl>
    <w:p w14:paraId="364BD000">
      <w:pPr>
        <w:rPr>
          <w:rFonts w:hint="eastAsia" w:ascii="仿宋" w:hAnsi="仿宋" w:eastAsia="仿宋"/>
          <w:color w:val="auto"/>
          <w:sz w:val="32"/>
          <w:szCs w:val="32"/>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Helvetica Neue">
    <w:altName w:val="Times New Roman"/>
    <w:panose1 w:val="02000503000000020004"/>
    <w:charset w:val="00"/>
    <w:family w:val="auto"/>
    <w:pitch w:val="default"/>
    <w:sig w:usb0="00000000" w:usb1="00000000" w:usb2="0000001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273BE2"/>
    <w:multiLevelType w:val="multilevel"/>
    <w:tmpl w:val="3D273BE2"/>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