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spacing w:before="0" w:after="157" w:afterLines="50" w:line="240" w:lineRule="auto"/>
        <w:jc w:val="center"/>
        <w:rPr>
          <w:color w:val="000000"/>
        </w:rPr>
      </w:pPr>
      <w:bookmarkStart w:id="0" w:name="_Toc15148"/>
      <w:bookmarkStart w:id="1" w:name="_Toc15638"/>
      <w:r>
        <w:rPr>
          <w:rFonts w:hint="eastAsia"/>
          <w:color w:val="000000"/>
        </w:rPr>
        <w:t>广东科学技术职业学院学生奖励评审办法</w:t>
      </w:r>
      <w:bookmarkEnd w:id="0"/>
      <w:bookmarkEnd w:id="1"/>
    </w:p>
    <w:p>
      <w:pPr>
        <w:pageBreakBefore w:val="0"/>
        <w:kinsoku/>
        <w:wordWrap/>
        <w:overflowPunct/>
        <w:topLinePunct w:val="0"/>
        <w:bidi w:val="0"/>
        <w:spacing w:line="360" w:lineRule="auto"/>
        <w:jc w:val="center"/>
        <w:textAlignment w:val="auto"/>
        <w:rPr>
          <w:rFonts w:hint="default" w:ascii="微软雅黑" w:hAnsi="微软雅黑" w:eastAsia="微软雅黑" w:cs="微软雅黑"/>
          <w:color w:val="000000"/>
          <w:sz w:val="24"/>
          <w:lang w:val="en-US"/>
        </w:rPr>
      </w:pPr>
      <w:r>
        <w:rPr>
          <w:rFonts w:hint="eastAsia" w:ascii="微软雅黑" w:hAnsi="微软雅黑" w:eastAsia="微软雅黑" w:cs="微软雅黑"/>
          <w:color w:val="000000"/>
          <w:sz w:val="24"/>
        </w:rPr>
        <w:t>粤科职院院字〔202</w:t>
      </w:r>
      <w:r>
        <w:rPr>
          <w:rFonts w:hint="eastAsia" w:ascii="微软雅黑" w:hAnsi="微软雅黑" w:eastAsia="微软雅黑" w:cs="微软雅黑"/>
          <w:color w:val="000000"/>
          <w:sz w:val="24"/>
          <w:lang w:val="en-US" w:eastAsia="zh-CN"/>
        </w:rPr>
        <w:t>2</w:t>
      </w:r>
      <w:r>
        <w:rPr>
          <w:rFonts w:hint="eastAsia" w:ascii="微软雅黑" w:hAnsi="微软雅黑" w:eastAsia="微软雅黑" w:cs="微软雅黑"/>
          <w:color w:val="000000"/>
          <w:sz w:val="24"/>
        </w:rPr>
        <w:t>〕</w:t>
      </w:r>
      <w:r>
        <w:rPr>
          <w:rFonts w:hint="eastAsia" w:ascii="微软雅黑" w:hAnsi="微软雅黑" w:eastAsia="微软雅黑" w:cs="微软雅黑"/>
          <w:color w:val="000000"/>
          <w:sz w:val="24"/>
          <w:lang w:val="en-US" w:eastAsia="zh-CN"/>
        </w:rPr>
        <w:t>190号</w:t>
      </w:r>
    </w:p>
    <w:p>
      <w:pPr>
        <w:pageBreakBefore w:val="0"/>
        <w:kinsoku/>
        <w:wordWrap/>
        <w:overflowPunct/>
        <w:topLinePunct w:val="0"/>
        <w:bidi w:val="0"/>
        <w:spacing w:line="360" w:lineRule="auto"/>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第一章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总  则</w:t>
      </w:r>
    </w:p>
    <w:p>
      <w:pPr>
        <w:spacing w:line="360" w:lineRule="auto"/>
        <w:ind w:firstLine="561" w:firstLineChars="200"/>
        <w:rPr>
          <w:rFonts w:hint="eastAsia" w:ascii="宋体" w:hAnsi="宋体" w:eastAsia="宋体" w:cs="宋体"/>
          <w:color w:val="000000"/>
          <w:sz w:val="28"/>
          <w:szCs w:val="28"/>
        </w:rPr>
      </w:pPr>
      <w:r>
        <w:rPr>
          <w:rFonts w:hint="eastAsia" w:ascii="Times New Roman" w:hAnsi="Times New Roman" w:eastAsia="宋体" w:cs="Times New Roman"/>
          <w:b/>
          <w:bCs/>
          <w:color w:val="000000"/>
          <w:sz w:val="28"/>
          <w:szCs w:val="28"/>
        </w:rPr>
        <w:t>第一条</w:t>
      </w:r>
      <w:r>
        <w:rPr>
          <w:rFonts w:hint="eastAsia" w:ascii="宋体" w:hAnsi="宋体" w:cs="宋体"/>
          <w:color w:val="000000"/>
          <w:sz w:val="28"/>
          <w:szCs w:val="28"/>
          <w:lang w:val="en-US" w:eastAsia="zh-CN"/>
        </w:rPr>
        <w:t xml:space="preserve"> </w:t>
      </w:r>
      <w:r>
        <w:rPr>
          <w:rFonts w:hint="eastAsia" w:ascii="宋体" w:hAnsi="宋体" w:eastAsia="宋体" w:cs="宋体"/>
          <w:color w:val="000000"/>
          <w:sz w:val="28"/>
          <w:szCs w:val="28"/>
        </w:rPr>
        <w:t>以立德树人为根本任务，以理想信念教育为核心，培育和践行社会主义核心价值观，弘扬中华优秀传统文化和革命文化、社会主义先进文化，培养学生的社会责任感、创新精神和实践能力；坚持依法治校，科学管理，健全和完善管理制度，规范管理行为，将管理与育人相结合，不断提高管理和服务水平；鼓励广大学生全面发展、奋发成才，结合我校实际情况，制定本办法。</w:t>
      </w:r>
    </w:p>
    <w:p>
      <w:pPr>
        <w:spacing w:line="360" w:lineRule="auto"/>
        <w:ind w:firstLine="561" w:firstLineChars="200"/>
        <w:rPr>
          <w:rFonts w:hint="eastAsia" w:ascii="宋体" w:hAnsi="宋体" w:eastAsia="宋体" w:cs="宋体"/>
          <w:color w:val="000000"/>
          <w:sz w:val="28"/>
          <w:szCs w:val="28"/>
        </w:rPr>
      </w:pPr>
      <w:r>
        <w:rPr>
          <w:rFonts w:hint="eastAsia" w:ascii="Times New Roman" w:hAnsi="Times New Roman" w:eastAsia="宋体" w:cs="Times New Roman"/>
          <w:b/>
          <w:bCs/>
          <w:color w:val="000000"/>
          <w:sz w:val="28"/>
          <w:szCs w:val="28"/>
        </w:rPr>
        <w:t>第二条</w:t>
      </w:r>
      <w:r>
        <w:rPr>
          <w:rFonts w:hint="eastAsia" w:ascii="宋体" w:hAnsi="宋体" w:cs="宋体"/>
          <w:b/>
          <w:color w:val="000000"/>
          <w:sz w:val="28"/>
          <w:szCs w:val="28"/>
          <w:lang w:val="en-US" w:eastAsia="zh-CN"/>
        </w:rPr>
        <w:t xml:space="preserve"> </w:t>
      </w:r>
      <w:r>
        <w:rPr>
          <w:rFonts w:hint="eastAsia" w:ascii="宋体" w:hAnsi="宋体" w:eastAsia="宋体" w:cs="宋体"/>
          <w:color w:val="000000"/>
          <w:sz w:val="28"/>
          <w:szCs w:val="28"/>
        </w:rPr>
        <w:t>《广东科学技术职业学院学生综合素质测评办法》和《广东科学技术职业学院学生素质提升实施办法》是评定优秀学生奖励的基本依据。</w:t>
      </w:r>
    </w:p>
    <w:p>
      <w:pPr>
        <w:spacing w:line="360" w:lineRule="auto"/>
        <w:ind w:firstLine="561" w:firstLineChars="200"/>
        <w:rPr>
          <w:rFonts w:hint="eastAsia" w:ascii="宋体" w:hAnsi="宋体" w:eastAsia="宋体" w:cs="宋体"/>
          <w:color w:val="000000"/>
          <w:sz w:val="28"/>
          <w:szCs w:val="28"/>
        </w:rPr>
      </w:pPr>
      <w:r>
        <w:rPr>
          <w:rFonts w:hint="eastAsia" w:ascii="Times New Roman" w:hAnsi="Times New Roman" w:eastAsia="宋体" w:cs="Times New Roman"/>
          <w:b/>
          <w:bCs/>
          <w:color w:val="000000"/>
          <w:sz w:val="28"/>
          <w:szCs w:val="28"/>
        </w:rPr>
        <w:t>第三条</w:t>
      </w:r>
      <w:r>
        <w:rPr>
          <w:rFonts w:hint="eastAsia" w:ascii="Times New Roman" w:hAnsi="Times New Roman" w:cs="Times New Roman"/>
          <w:b/>
          <w:bCs/>
          <w:color w:val="000000"/>
          <w:sz w:val="28"/>
          <w:szCs w:val="28"/>
          <w:lang w:val="en-US" w:eastAsia="zh-CN"/>
        </w:rPr>
        <w:t xml:space="preserve"> </w:t>
      </w:r>
      <w:r>
        <w:rPr>
          <w:rFonts w:hint="eastAsia" w:ascii="宋体" w:hAnsi="宋体" w:eastAsia="宋体" w:cs="宋体"/>
          <w:color w:val="000000"/>
          <w:sz w:val="28"/>
          <w:szCs w:val="28"/>
        </w:rPr>
        <w:t>本办法适用于我校在籍并按期注册的国家计划内的二、三年级学生。</w:t>
      </w:r>
    </w:p>
    <w:p>
      <w:pPr>
        <w:pageBreakBefore w:val="0"/>
        <w:kinsoku/>
        <w:wordWrap/>
        <w:overflowPunct/>
        <w:topLinePunct w:val="0"/>
        <w:bidi w:val="0"/>
        <w:spacing w:line="360" w:lineRule="auto"/>
        <w:ind w:firstLine="0" w:firstLineChars="0"/>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第二章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奖励设置与基本条件</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b/>
          <w:bCs/>
          <w:color w:val="000000"/>
          <w:sz w:val="28"/>
          <w:szCs w:val="28"/>
        </w:rPr>
        <w:t>第四条</w:t>
      </w:r>
      <w:r>
        <w:rPr>
          <w:rFonts w:hint="eastAsia" w:ascii="Times New Roman" w:hAnsi="Times New Roman" w:cs="Times New Roman"/>
          <w:b/>
          <w:bCs/>
          <w:color w:val="000000"/>
          <w:sz w:val="28"/>
          <w:szCs w:val="28"/>
          <w:lang w:val="en-US" w:eastAsia="zh-CN"/>
        </w:rPr>
        <w:t xml:space="preserve"> </w:t>
      </w:r>
      <w:r>
        <w:rPr>
          <w:rFonts w:hint="eastAsia" w:ascii="Times New Roman" w:hAnsi="Times New Roman" w:eastAsia="宋体" w:cs="Times New Roman"/>
          <w:color w:val="000000"/>
          <w:sz w:val="28"/>
          <w:szCs w:val="28"/>
        </w:rPr>
        <w:t>广东科学技术职业学院学生奖励每学年评审一次，评审时间定于每年10月份，佐证材料起止时间为上一年的9月1日至当年的8月31日。</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第五条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广东科学技术职业学院学生奖励分为单项奖励、综合奖励、特别贡献奖、广科大学生年度人物。</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单项奖励：“学习之星”、“进取之星”、“自强之星”、“奉献之星”、“风尚之星”、“敬业之星”、“双创之星”、“科研之星”、“文体之星”、“技能之星”、“学生干部之星”、“综合素质之星”。</w:t>
      </w:r>
    </w:p>
    <w:p>
      <w:pPr>
        <w:tabs>
          <w:tab w:val="left" w:pos="2100"/>
          <w:tab w:val="left" w:pos="4200"/>
          <w:tab w:val="left" w:pos="6300"/>
        </w:tabs>
        <w:spacing w:line="360" w:lineRule="auto"/>
        <w:ind w:firstLine="560" w:firstLineChars="200"/>
        <w:rPr>
          <w:rFonts w:hint="eastAsia" w:ascii="宋体" w:hAnsi="宋体" w:eastAsia="宋体" w:cs="宋体"/>
          <w:color w:val="000000"/>
          <w:sz w:val="28"/>
          <w:szCs w:val="28"/>
        </w:rPr>
      </w:pPr>
      <w:r>
        <w:rPr>
          <w:rFonts w:hint="eastAsia" w:ascii="Times New Roman" w:hAnsi="Times New Roman" w:eastAsia="宋体" w:cs="Times New Roman"/>
          <w:color w:val="000000"/>
          <w:sz w:val="28"/>
          <w:szCs w:val="28"/>
        </w:rPr>
        <w:t>（二）综合奖励：“广科之星”，分为</w:t>
      </w:r>
      <w:r>
        <w:rPr>
          <w:rFonts w:hint="eastAsia" w:ascii="宋体" w:hAnsi="宋体" w:eastAsia="宋体" w:cs="宋体"/>
          <w:color w:val="000000"/>
          <w:sz w:val="28"/>
          <w:szCs w:val="28"/>
        </w:rPr>
        <w:t>一等奖、二等奖和三等奖。</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（三）特别贡献奖。</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（四）广科大学生年度人物。</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第六条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奖励评定的基本条件</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（一）热爱社会主义祖国，积极要求进步，拥护中国共产党的领导。</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（二）遵守宪法和法律，遵守学校规章制度。</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（三）诚实守信，无考试舞弊。</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（四）在校期间学习勤奋，无缺考。</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（五）社会实践、创新能力等方面表现突出，学年综合素质测评成绩优秀。</w:t>
      </w:r>
    </w:p>
    <w:p>
      <w:pPr>
        <w:pageBreakBefore w:val="0"/>
        <w:tabs>
          <w:tab w:val="left" w:pos="2100"/>
          <w:tab w:val="left" w:pos="4200"/>
          <w:tab w:val="left" w:pos="6300"/>
        </w:tabs>
        <w:kinsoku/>
        <w:wordWrap/>
        <w:overflowPunct/>
        <w:topLinePunct w:val="0"/>
        <w:bidi w:val="0"/>
        <w:spacing w:line="360" w:lineRule="auto"/>
        <w:ind w:firstLine="560" w:firstLineChars="200"/>
        <w:textAlignment w:val="auto"/>
        <w:rPr>
          <w:rFonts w:ascii="仿宋" w:hAnsi="仿宋" w:eastAsia="仿宋"/>
          <w:color w:val="000000"/>
          <w:sz w:val="28"/>
          <w:szCs w:val="28"/>
        </w:rPr>
      </w:pPr>
      <w:r>
        <w:rPr>
          <w:rFonts w:hint="eastAsia" w:ascii="Times New Roman" w:hAnsi="Times New Roman" w:eastAsia="宋体" w:cs="Times New Roman"/>
          <w:color w:val="000000"/>
          <w:sz w:val="28"/>
          <w:szCs w:val="28"/>
        </w:rPr>
        <w:t>（六）积极参加体育锻炼和健身活动，身心素质良好。</w:t>
      </w:r>
    </w:p>
    <w:p>
      <w:pPr>
        <w:pageBreakBefore w:val="0"/>
        <w:kinsoku/>
        <w:wordWrap/>
        <w:overflowPunct/>
        <w:topLinePunct w:val="0"/>
        <w:bidi w:val="0"/>
        <w:spacing w:line="360" w:lineRule="auto"/>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第三章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申请与评审</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第七条</w:t>
      </w:r>
      <w:r>
        <w:rPr>
          <w:rFonts w:hint="eastAsia" w:ascii="宋体" w:hAnsi="宋体" w:cs="宋体"/>
          <w:b/>
          <w:color w:val="000000"/>
          <w:sz w:val="28"/>
          <w:szCs w:val="28"/>
          <w:lang w:val="en-US" w:eastAsia="zh-CN"/>
        </w:rPr>
        <w:t xml:space="preserve"> </w:t>
      </w:r>
      <w:r>
        <w:rPr>
          <w:rFonts w:hint="eastAsia" w:ascii="Times New Roman" w:hAnsi="Times New Roman" w:eastAsia="宋体" w:cs="Times New Roman"/>
          <w:color w:val="000000"/>
          <w:sz w:val="28"/>
          <w:szCs w:val="28"/>
        </w:rPr>
        <w:t>申请方式与评审程序</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（一）个人自荐与班主任推选相结合。由学生根据奖励名称、评定标准和基本条件自荐，班主任根据班级学生综合评奖状况进行推荐。</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（二）</w:t>
      </w:r>
      <w:bookmarkStart w:id="2" w:name="_Hlk71881681"/>
      <w:r>
        <w:rPr>
          <w:rFonts w:hint="eastAsia" w:ascii="Times New Roman" w:hAnsi="Times New Roman" w:eastAsia="宋体" w:cs="Times New Roman"/>
          <w:color w:val="000000"/>
          <w:sz w:val="28"/>
          <w:szCs w:val="28"/>
        </w:rPr>
        <w:t>学院评审工作小组</w:t>
      </w:r>
      <w:bookmarkEnd w:id="2"/>
      <w:r>
        <w:rPr>
          <w:rFonts w:hint="eastAsia" w:ascii="Times New Roman" w:hAnsi="Times New Roman" w:eastAsia="宋体" w:cs="Times New Roman"/>
          <w:color w:val="000000"/>
          <w:sz w:val="28"/>
          <w:szCs w:val="28"/>
        </w:rPr>
        <w:t>对申请学生进行评审，并将评审结果在学院进行5个工作日公示。</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（三）公示无异议后，将候选名单上报学校审批。</w:t>
      </w:r>
    </w:p>
    <w:p>
      <w:pPr>
        <w:tabs>
          <w:tab w:val="left" w:pos="2100"/>
          <w:tab w:val="left" w:pos="4200"/>
          <w:tab w:val="left" w:pos="6300"/>
        </w:tabs>
        <w:spacing w:line="360" w:lineRule="auto"/>
        <w:ind w:firstLine="560" w:firstLineChars="200"/>
        <w:rPr>
          <w:rFonts w:hint="eastAsia" w:ascii="Times New Roman" w:hAnsi="Times New Roman" w:eastAsia="宋体"/>
          <w:color w:val="000000"/>
          <w:sz w:val="28"/>
          <w:szCs w:val="28"/>
        </w:rPr>
      </w:pPr>
      <w:r>
        <w:rPr>
          <w:rFonts w:hint="eastAsia" w:ascii="Times New Roman" w:hAnsi="Times New Roman" w:eastAsia="宋体" w:cs="Times New Roman"/>
          <w:color w:val="000000"/>
          <w:sz w:val="28"/>
          <w:szCs w:val="28"/>
        </w:rPr>
        <w:t>（四）对公示结果有异议者，可在公示期内向学生资助工作领导小组提出申诉，发现违规违纪行为可向学校纪检监察处进行投诉。</w:t>
      </w:r>
    </w:p>
    <w:p>
      <w:pPr>
        <w:pageBreakBefore w:val="0"/>
        <w:kinsoku/>
        <w:wordWrap/>
        <w:overflowPunct/>
        <w:topLinePunct w:val="0"/>
        <w:bidi w:val="0"/>
        <w:spacing w:line="360" w:lineRule="auto"/>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第四章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申报奖励条件</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第八条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单项奖励条件</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（一）“学习之星”：上一学年度学习成绩在班级排名前10%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；无补考、缺考，无旷课、迟到、早退现象；按班级总人数的10%评选。</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（二）“进取之星”：上一学年度学习成绩在班级排名中第二学期比第一学期超过班级人数30%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，且第二学期学习成绩排名在班级前40%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，没有旷课现象和第二学期没有补考科目者；申报总人数不超过班级总人数的12%。</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（三）“自强之星”：根据《广东科学技术职业学院学生勤工助学管理办法》，获得本学年考核优秀者授予“自强之星”。</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（四）“奉献之星”：在i志愿上注册并持有志愿者证，学年志愿时不少于40小时（i志愿系统数据为准），获得校级或区级以上“优秀志愿者”称号优先，由</w:t>
      </w:r>
      <w:r>
        <w:rPr>
          <w:rFonts w:hint="eastAsia" w:ascii="Times New Roman" w:hAnsi="Times New Roman" w:eastAsia="宋体" w:cs="Times New Roman"/>
          <w:color w:val="000000"/>
          <w:sz w:val="28"/>
          <w:szCs w:val="28"/>
          <w:lang w:val="en-US" w:eastAsia="zh-CN"/>
        </w:rPr>
        <w:t>学生申报、</w:t>
      </w:r>
      <w:r>
        <w:rPr>
          <w:rFonts w:hint="eastAsia" w:ascii="Times New Roman" w:hAnsi="Times New Roman" w:eastAsia="宋体" w:cs="Times New Roman"/>
          <w:color w:val="000000"/>
          <w:sz w:val="28"/>
          <w:szCs w:val="28"/>
        </w:rPr>
        <w:t>校团委根据系统认定，评选名额为100名。</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五）“风尚之星”：具有良好的公德意识、社会责任感和个人道德修养，热心支持和参与社会、学校公益事业，在见义勇为、环保低碳、扶贫济困、尊老爱幼、同学帮扶、诚实守信等方面有突出事迹，获得有关单位部门嘉奖、感谢信、新闻媒体报道的同学可以申报。</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（六）“敬业之星”：根据《广东科学技术职业学院校内实践岗管理办法》，获得本学年考核优秀者授予“敬业之星”。</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七）“双创之星”：具有创新创业意识，积极参与创新创业类活动，在省、市级以上政府（含省、市级）及学校举办的创新创业竞赛中获得三等奖（含三等奖）以上；参加学校创新创业训练计划项目并成功结题的同学可以申报。</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（八）“科研之星”：具有创新意识，独立或参与申请专利、著作权等知识产权成果（不包括实用新型专利、外观设计专利），科研成果、学术论文获校级三等奖以上者；或在正式出版的刊物上发表论文者。</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九）“文体之星”：个人在省、市级以上文艺汇演获三等奖以上或体育竞赛中获前三名；参加省、市级以上集体项目的各类竞赛，获得三等奖以上（体育竞赛获前三名）的主力队员；在校级以上（含广东科学技术职业学院）运动会上破纪录者（在二级学院级运动会上破校级纪录并经有关主管部门或组织认可者，可获此奖项）。</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（十）“技能之星”：根据《广东科学技术职业学院专业技能竞赛管理暂行办法》，由学校实训中心认定为省级以上（含省级）专业技能竞赛获奖者可以申报。</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（十一）“学生干部之星”：担任学生干部一年以上（含一年），工作认真负责，学习成绩在班级排名前40%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，上一学年度无考试不及格，组织或参加校级（含校级）以上各类比赛获得三等奖以上，学院学生干部按学院学生总人数的12‰评选，校级学生干部、社团学生干部按学校学生总人数的4‰评选。</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（十二）“综合素质之星”：根据《广东科学技术职业学院学生综合素质提升实施办法》，素质积分在本专业学生排名</w:t>
      </w:r>
      <w:r>
        <w:rPr>
          <w:rFonts w:hint="eastAsia" w:ascii="Times New Roman" w:hAnsi="Times New Roman" w:eastAsia="宋体" w:cs="Times New Roman"/>
          <w:color w:val="000000"/>
          <w:sz w:val="28"/>
          <w:szCs w:val="28"/>
          <w:lang w:val="en-US" w:eastAsia="zh-CN"/>
        </w:rPr>
        <w:t>前</w:t>
      </w:r>
      <w:r>
        <w:rPr>
          <w:rFonts w:hint="eastAsia" w:ascii="Times New Roman" w:hAnsi="Times New Roman" w:eastAsia="宋体" w:cs="Times New Roman"/>
          <w:color w:val="000000"/>
          <w:sz w:val="28"/>
          <w:szCs w:val="28"/>
        </w:rPr>
        <w:t>10%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的同学可以申报。</w:t>
      </w:r>
    </w:p>
    <w:p>
      <w:pPr>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第九条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“广科之星”综合奖励条件</w:t>
      </w:r>
    </w:p>
    <w:p>
      <w:pPr>
        <w:rPr>
          <w:rFonts w:hint="eastAsia"/>
        </w:rPr>
      </w:pPr>
      <w:r>
        <w:rPr>
          <w:rFonts w:hint="eastAsia" w:ascii="Times New Roman" w:hAnsi="Times New Roman" w:eastAsia="宋体" w:cs="Times New Roman"/>
          <w:color w:val="000000"/>
          <w:sz w:val="28"/>
          <w:szCs w:val="28"/>
        </w:rPr>
        <w:br w:type="page"/>
      </w:r>
    </w:p>
    <w:tbl>
      <w:tblPr>
        <w:tblStyle w:val="6"/>
        <w:tblW w:w="9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795"/>
        <w:gridCol w:w="1210"/>
        <w:gridCol w:w="5355"/>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810"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b/>
                <w:color w:val="000000"/>
                <w:sz w:val="28"/>
                <w:szCs w:val="28"/>
              </w:rPr>
            </w:pPr>
            <w:r>
              <w:rPr>
                <w:rFonts w:hint="eastAsia" w:ascii="仿宋" w:hAnsi="仿宋" w:eastAsia="仿宋"/>
                <w:b/>
                <w:color w:val="000000"/>
                <w:sz w:val="28"/>
                <w:szCs w:val="28"/>
              </w:rPr>
              <w:t>层级</w:t>
            </w:r>
          </w:p>
        </w:tc>
        <w:tc>
          <w:tcPr>
            <w:tcW w:w="795"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b/>
                <w:color w:val="000000"/>
                <w:sz w:val="28"/>
                <w:szCs w:val="28"/>
              </w:rPr>
            </w:pPr>
            <w:r>
              <w:rPr>
                <w:rFonts w:hint="eastAsia" w:ascii="仿宋" w:hAnsi="仿宋" w:eastAsia="仿宋"/>
                <w:b/>
                <w:color w:val="000000"/>
                <w:sz w:val="28"/>
                <w:szCs w:val="28"/>
              </w:rPr>
              <w:t>名额</w:t>
            </w:r>
          </w:p>
        </w:tc>
        <w:tc>
          <w:tcPr>
            <w:tcW w:w="1210"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b/>
                <w:color w:val="000000"/>
                <w:sz w:val="28"/>
                <w:szCs w:val="28"/>
              </w:rPr>
            </w:pPr>
            <w:r>
              <w:rPr>
                <w:rFonts w:hint="eastAsia" w:ascii="仿宋" w:hAnsi="仿宋" w:eastAsia="仿宋"/>
                <w:b/>
                <w:color w:val="000000"/>
                <w:sz w:val="28"/>
                <w:szCs w:val="28"/>
              </w:rPr>
              <w:t>评奖范围</w:t>
            </w:r>
          </w:p>
        </w:tc>
        <w:tc>
          <w:tcPr>
            <w:tcW w:w="5355"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b/>
                <w:color w:val="000000"/>
                <w:sz w:val="28"/>
                <w:szCs w:val="28"/>
              </w:rPr>
            </w:pPr>
            <w:r>
              <w:rPr>
                <w:rFonts w:hint="eastAsia" w:ascii="仿宋" w:hAnsi="仿宋" w:eastAsia="仿宋"/>
                <w:b/>
                <w:color w:val="000000"/>
                <w:sz w:val="28"/>
                <w:szCs w:val="28"/>
              </w:rPr>
              <w:t>评奖条件</w:t>
            </w:r>
          </w:p>
        </w:tc>
        <w:tc>
          <w:tcPr>
            <w:tcW w:w="923"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b/>
                <w:color w:val="000000"/>
                <w:sz w:val="28"/>
                <w:szCs w:val="28"/>
              </w:rPr>
            </w:pPr>
            <w:r>
              <w:rPr>
                <w:rFonts w:hint="eastAsia" w:ascii="仿宋" w:hAnsi="仿宋" w:eastAsia="仿宋"/>
                <w:b/>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0"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一</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等</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奖</w:t>
            </w:r>
          </w:p>
        </w:tc>
        <w:tc>
          <w:tcPr>
            <w:tcW w:w="795"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30名</w:t>
            </w:r>
          </w:p>
        </w:tc>
        <w:tc>
          <w:tcPr>
            <w:tcW w:w="1210"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全校</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二、三年级学生参评</w:t>
            </w:r>
          </w:p>
        </w:tc>
        <w:tc>
          <w:tcPr>
            <w:tcW w:w="5355" w:type="dxa"/>
            <w:noWrap w:val="0"/>
            <w:vAlign w:val="center"/>
          </w:tcPr>
          <w:p>
            <w:pPr>
              <w:keepNext w:val="0"/>
              <w:keepLines w:val="0"/>
              <w:suppressLineNumbers w:val="0"/>
              <w:spacing w:before="0" w:beforeAutospacing="0" w:after="0" w:afterAutospacing="0" w:line="240" w:lineRule="auto"/>
              <w:ind w:left="0" w:right="0" w:firstLine="560" w:firstLineChars="200"/>
              <w:rPr>
                <w:rFonts w:hint="default" w:ascii="仿宋" w:hAnsi="仿宋" w:eastAsia="仿宋"/>
                <w:color w:val="000000"/>
                <w:sz w:val="28"/>
                <w:szCs w:val="28"/>
              </w:rPr>
            </w:pPr>
            <w:r>
              <w:rPr>
                <w:rFonts w:hint="eastAsia" w:ascii="仿宋" w:hAnsi="仿宋" w:eastAsia="仿宋"/>
                <w:color w:val="000000"/>
                <w:sz w:val="28"/>
                <w:szCs w:val="28"/>
              </w:rPr>
              <w:t>表现优秀，学年综合测评成绩位列学院年级排名前</w:t>
            </w:r>
            <w:r>
              <w:rPr>
                <w:rFonts w:hint="default" w:ascii="仿宋" w:hAnsi="仿宋" w:eastAsia="仿宋"/>
                <w:color w:val="000000"/>
                <w:sz w:val="28"/>
                <w:szCs w:val="28"/>
              </w:rPr>
              <w:t>1</w:t>
            </w:r>
            <w:r>
              <w:rPr>
                <w:rFonts w:hint="eastAsia" w:ascii="仿宋" w:hAnsi="仿宋" w:eastAsia="仿宋"/>
                <w:color w:val="000000"/>
                <w:sz w:val="28"/>
                <w:szCs w:val="28"/>
              </w:rPr>
              <w:t>0%</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r>
              <w:rPr>
                <w:rFonts w:hint="eastAsia" w:ascii="仿宋" w:hAnsi="仿宋" w:eastAsia="仿宋"/>
                <w:color w:val="000000"/>
                <w:sz w:val="28"/>
                <w:szCs w:val="28"/>
              </w:rPr>
              <w:t>，或获得省级</w:t>
            </w:r>
            <w:r>
              <w:rPr>
                <w:rFonts w:hint="eastAsia" w:ascii="仿宋" w:hAnsi="仿宋" w:eastAsia="仿宋"/>
                <w:color w:val="000000"/>
                <w:sz w:val="28"/>
                <w:szCs w:val="28"/>
                <w:lang w:val="en-US" w:eastAsia="zh-CN"/>
              </w:rPr>
              <w:t>及</w:t>
            </w:r>
            <w:r>
              <w:rPr>
                <w:rFonts w:hint="eastAsia" w:ascii="仿宋" w:hAnsi="仿宋" w:eastAsia="仿宋"/>
                <w:color w:val="000000"/>
                <w:sz w:val="28"/>
                <w:szCs w:val="28"/>
              </w:rPr>
              <w:t>以上竞赛奖项（含团体奖项）且学年综合测评成绩位列学院年级排名前</w:t>
            </w:r>
            <w:r>
              <w:rPr>
                <w:rFonts w:hint="default" w:ascii="仿宋" w:hAnsi="仿宋" w:eastAsia="仿宋"/>
                <w:color w:val="000000"/>
                <w:sz w:val="28"/>
                <w:szCs w:val="28"/>
              </w:rPr>
              <w:t>20%</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r>
              <w:rPr>
                <w:rFonts w:hint="eastAsia" w:ascii="仿宋" w:hAnsi="仿宋" w:eastAsia="仿宋"/>
                <w:color w:val="000000"/>
                <w:sz w:val="28"/>
                <w:szCs w:val="28"/>
              </w:rPr>
              <w:t>获得校内单项奖励</w:t>
            </w:r>
            <w:r>
              <w:rPr>
                <w:rFonts w:hint="default" w:ascii="仿宋" w:hAnsi="仿宋" w:eastAsia="仿宋"/>
                <w:color w:val="000000"/>
                <w:sz w:val="28"/>
                <w:szCs w:val="28"/>
              </w:rPr>
              <w:t>5</w:t>
            </w:r>
            <w:r>
              <w:rPr>
                <w:rFonts w:hint="eastAsia" w:ascii="仿宋" w:hAnsi="仿宋" w:eastAsia="仿宋"/>
                <w:color w:val="000000"/>
                <w:sz w:val="28"/>
                <w:szCs w:val="28"/>
              </w:rPr>
              <w:t>项。（获奖奖项相同时，按照综合测评成绩排序）</w:t>
            </w:r>
          </w:p>
        </w:tc>
        <w:tc>
          <w:tcPr>
            <w:tcW w:w="923" w:type="dxa"/>
            <w:noWrap w:val="0"/>
            <w:vAlign w:val="center"/>
          </w:tcPr>
          <w:p>
            <w:pPr>
              <w:keepNext w:val="0"/>
              <w:keepLines w:val="0"/>
              <w:suppressLineNumbers w:val="0"/>
              <w:spacing w:before="0" w:beforeAutospacing="0" w:after="0" w:afterAutospacing="0" w:line="240" w:lineRule="auto"/>
              <w:ind w:left="0" w:right="0"/>
              <w:rPr>
                <w:rFonts w:hint="default"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5" w:hRule="atLeast"/>
          <w:jc w:val="center"/>
        </w:trPr>
        <w:tc>
          <w:tcPr>
            <w:tcW w:w="810"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二</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等</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奖</w:t>
            </w:r>
          </w:p>
        </w:tc>
        <w:tc>
          <w:tcPr>
            <w:tcW w:w="795"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lang w:val="en-US" w:eastAsia="zh-CN"/>
              </w:rPr>
              <w:t>60</w:t>
            </w:r>
            <w:r>
              <w:rPr>
                <w:rFonts w:hint="eastAsia" w:ascii="仿宋" w:hAnsi="仿宋" w:eastAsia="仿宋"/>
                <w:color w:val="000000"/>
                <w:sz w:val="28"/>
                <w:szCs w:val="28"/>
              </w:rPr>
              <w:t>名</w:t>
            </w:r>
          </w:p>
        </w:tc>
        <w:tc>
          <w:tcPr>
            <w:tcW w:w="1210" w:type="dxa"/>
            <w:vMerge w:val="continue"/>
            <w:noWrap w:val="0"/>
            <w:vAlign w:val="center"/>
          </w:tcPr>
          <w:p>
            <w:pPr>
              <w:keepNext w:val="0"/>
              <w:keepLines w:val="0"/>
              <w:suppressLineNumbers w:val="0"/>
              <w:spacing w:before="0" w:beforeAutospacing="0" w:after="0" w:afterAutospacing="0" w:line="240" w:lineRule="auto"/>
              <w:ind w:left="0" w:right="0"/>
              <w:rPr>
                <w:rFonts w:hint="default" w:ascii="仿宋" w:hAnsi="仿宋" w:eastAsia="仿宋"/>
                <w:color w:val="000000"/>
                <w:sz w:val="28"/>
                <w:szCs w:val="28"/>
              </w:rPr>
            </w:pPr>
          </w:p>
        </w:tc>
        <w:tc>
          <w:tcPr>
            <w:tcW w:w="5355" w:type="dxa"/>
            <w:noWrap w:val="0"/>
            <w:vAlign w:val="center"/>
          </w:tcPr>
          <w:p>
            <w:pPr>
              <w:keepNext w:val="0"/>
              <w:keepLines w:val="0"/>
              <w:suppressLineNumbers w:val="0"/>
              <w:spacing w:before="0" w:beforeAutospacing="0" w:after="0" w:afterAutospacing="0" w:line="240" w:lineRule="auto"/>
              <w:ind w:left="0" w:right="0" w:firstLine="560" w:firstLineChars="200"/>
              <w:rPr>
                <w:rFonts w:hint="default" w:ascii="仿宋" w:hAnsi="仿宋" w:eastAsia="仿宋"/>
                <w:color w:val="000000"/>
                <w:sz w:val="28"/>
                <w:szCs w:val="28"/>
              </w:rPr>
            </w:pPr>
            <w:r>
              <w:rPr>
                <w:rFonts w:hint="eastAsia" w:ascii="仿宋" w:hAnsi="仿宋" w:eastAsia="仿宋"/>
                <w:color w:val="000000"/>
                <w:sz w:val="28"/>
                <w:szCs w:val="28"/>
              </w:rPr>
              <w:t>表现优秀，学年综合测评成绩位列学院年级排名前</w:t>
            </w:r>
            <w:r>
              <w:rPr>
                <w:rFonts w:hint="default" w:ascii="仿宋" w:hAnsi="仿宋" w:eastAsia="仿宋"/>
                <w:color w:val="000000"/>
                <w:sz w:val="28"/>
                <w:szCs w:val="28"/>
              </w:rPr>
              <w:t>15</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r>
              <w:rPr>
                <w:rFonts w:hint="eastAsia" w:ascii="仿宋" w:hAnsi="仿宋" w:eastAsia="仿宋"/>
                <w:color w:val="000000"/>
                <w:sz w:val="28"/>
                <w:szCs w:val="28"/>
              </w:rPr>
              <w:t>，或获得省级</w:t>
            </w:r>
            <w:r>
              <w:rPr>
                <w:rFonts w:hint="eastAsia" w:ascii="仿宋" w:hAnsi="仿宋" w:eastAsia="仿宋"/>
                <w:color w:val="000000"/>
                <w:sz w:val="28"/>
                <w:szCs w:val="28"/>
                <w:lang w:val="en-US" w:eastAsia="zh-CN"/>
              </w:rPr>
              <w:t>及</w:t>
            </w:r>
            <w:r>
              <w:rPr>
                <w:rFonts w:hint="eastAsia" w:ascii="仿宋" w:hAnsi="仿宋" w:eastAsia="仿宋"/>
                <w:color w:val="000000"/>
                <w:sz w:val="28"/>
                <w:szCs w:val="28"/>
              </w:rPr>
              <w:t>以上竞赛奖项（含团体奖项）且学年综合测评成绩位列学院年级排名前</w:t>
            </w:r>
            <w:r>
              <w:rPr>
                <w:rFonts w:hint="default" w:ascii="仿宋" w:hAnsi="仿宋" w:eastAsia="仿宋"/>
                <w:color w:val="000000"/>
                <w:sz w:val="28"/>
                <w:szCs w:val="28"/>
              </w:rPr>
              <w:t>2</w:t>
            </w:r>
            <w:r>
              <w:rPr>
                <w:rFonts w:hint="eastAsia" w:ascii="仿宋" w:hAnsi="仿宋" w:eastAsia="仿宋"/>
                <w:color w:val="000000"/>
                <w:sz w:val="28"/>
                <w:szCs w:val="28"/>
              </w:rPr>
              <w:t>5%</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p>
          <w:p>
            <w:pPr>
              <w:keepNext w:val="0"/>
              <w:keepLines w:val="0"/>
              <w:suppressLineNumbers w:val="0"/>
              <w:spacing w:before="0" w:beforeAutospacing="0" w:after="0" w:afterAutospacing="0" w:line="240" w:lineRule="auto"/>
              <w:ind w:left="0" w:right="0" w:firstLine="560" w:firstLineChars="200"/>
              <w:rPr>
                <w:rFonts w:hint="default" w:ascii="仿宋" w:hAnsi="仿宋" w:eastAsia="仿宋"/>
                <w:color w:val="000000"/>
                <w:sz w:val="28"/>
                <w:szCs w:val="28"/>
              </w:rPr>
            </w:pPr>
            <w:r>
              <w:rPr>
                <w:rFonts w:hint="eastAsia" w:ascii="仿宋" w:hAnsi="仿宋" w:eastAsia="仿宋"/>
                <w:color w:val="000000"/>
                <w:sz w:val="28"/>
                <w:szCs w:val="28"/>
              </w:rPr>
              <w:t>获得校内单项奖励</w:t>
            </w:r>
            <w:r>
              <w:rPr>
                <w:rFonts w:hint="default" w:ascii="仿宋" w:hAnsi="仿宋" w:eastAsia="仿宋"/>
                <w:color w:val="000000"/>
                <w:sz w:val="28"/>
                <w:szCs w:val="28"/>
              </w:rPr>
              <w:t>4</w:t>
            </w:r>
            <w:r>
              <w:rPr>
                <w:rFonts w:hint="eastAsia" w:ascii="仿宋" w:hAnsi="仿宋" w:eastAsia="仿宋"/>
                <w:color w:val="000000"/>
                <w:sz w:val="28"/>
                <w:szCs w:val="28"/>
              </w:rPr>
              <w:t>项。（获奖奖项相同时，按照综合测评成绩排序）</w:t>
            </w:r>
          </w:p>
        </w:tc>
        <w:tc>
          <w:tcPr>
            <w:tcW w:w="923" w:type="dxa"/>
            <w:noWrap w:val="0"/>
            <w:vAlign w:val="center"/>
          </w:tcPr>
          <w:p>
            <w:pPr>
              <w:keepNext w:val="0"/>
              <w:keepLines w:val="0"/>
              <w:suppressLineNumbers w:val="0"/>
              <w:spacing w:before="0" w:beforeAutospacing="0" w:after="0" w:afterAutospacing="0" w:line="240" w:lineRule="auto"/>
              <w:ind w:left="0" w:right="0"/>
              <w:rPr>
                <w:rFonts w:hint="default" w:ascii="仿宋" w:hAnsi="仿宋" w:eastAsia="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95" w:hRule="atLeast"/>
          <w:jc w:val="center"/>
        </w:trPr>
        <w:tc>
          <w:tcPr>
            <w:tcW w:w="810"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三</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等</w:t>
            </w:r>
          </w:p>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rPr>
              <w:t>奖</w:t>
            </w:r>
          </w:p>
        </w:tc>
        <w:tc>
          <w:tcPr>
            <w:tcW w:w="795" w:type="dxa"/>
            <w:noWrap w:val="0"/>
            <w:vAlign w:val="center"/>
          </w:tcPr>
          <w:p>
            <w:pPr>
              <w:keepNext w:val="0"/>
              <w:keepLines w:val="0"/>
              <w:suppressLineNumbers w:val="0"/>
              <w:spacing w:before="0" w:beforeAutospacing="0" w:after="0" w:afterAutospacing="0" w:line="240" w:lineRule="auto"/>
              <w:ind w:left="0" w:right="0"/>
              <w:jc w:val="center"/>
              <w:rPr>
                <w:rFonts w:hint="default" w:ascii="仿宋" w:hAnsi="仿宋" w:eastAsia="仿宋"/>
                <w:color w:val="000000"/>
                <w:sz w:val="28"/>
                <w:szCs w:val="28"/>
              </w:rPr>
            </w:pPr>
            <w:r>
              <w:rPr>
                <w:rFonts w:hint="eastAsia" w:ascii="仿宋" w:hAnsi="仿宋" w:eastAsia="仿宋"/>
                <w:color w:val="000000"/>
                <w:sz w:val="28"/>
                <w:szCs w:val="28"/>
                <w:lang w:val="en-US" w:eastAsia="zh-CN"/>
              </w:rPr>
              <w:t>110</w:t>
            </w:r>
            <w:r>
              <w:rPr>
                <w:rFonts w:hint="eastAsia" w:ascii="仿宋" w:hAnsi="仿宋" w:eastAsia="仿宋"/>
                <w:color w:val="000000"/>
                <w:sz w:val="28"/>
                <w:szCs w:val="28"/>
              </w:rPr>
              <w:t>名</w:t>
            </w:r>
          </w:p>
        </w:tc>
        <w:tc>
          <w:tcPr>
            <w:tcW w:w="1210" w:type="dxa"/>
            <w:vMerge w:val="continue"/>
            <w:noWrap w:val="0"/>
            <w:vAlign w:val="center"/>
          </w:tcPr>
          <w:p>
            <w:pPr>
              <w:keepNext w:val="0"/>
              <w:keepLines w:val="0"/>
              <w:suppressLineNumbers w:val="0"/>
              <w:spacing w:before="0" w:beforeAutospacing="0" w:after="0" w:afterAutospacing="0" w:line="240" w:lineRule="auto"/>
              <w:ind w:left="0" w:right="0"/>
              <w:rPr>
                <w:rFonts w:hint="default" w:ascii="仿宋" w:hAnsi="仿宋" w:eastAsia="仿宋"/>
                <w:color w:val="000000"/>
                <w:sz w:val="28"/>
                <w:szCs w:val="28"/>
              </w:rPr>
            </w:pPr>
          </w:p>
        </w:tc>
        <w:tc>
          <w:tcPr>
            <w:tcW w:w="5355" w:type="dxa"/>
            <w:noWrap w:val="0"/>
            <w:vAlign w:val="center"/>
          </w:tcPr>
          <w:p>
            <w:pPr>
              <w:keepNext w:val="0"/>
              <w:keepLines w:val="0"/>
              <w:suppressLineNumbers w:val="0"/>
              <w:spacing w:before="0" w:beforeAutospacing="0" w:after="0" w:afterAutospacing="0" w:line="240" w:lineRule="auto"/>
              <w:ind w:left="0" w:right="0" w:firstLine="560" w:firstLineChars="200"/>
              <w:rPr>
                <w:rFonts w:hint="default" w:ascii="仿宋" w:hAnsi="仿宋" w:eastAsia="仿宋"/>
                <w:color w:val="000000"/>
                <w:sz w:val="28"/>
                <w:szCs w:val="28"/>
              </w:rPr>
            </w:pPr>
            <w:r>
              <w:rPr>
                <w:rFonts w:hint="eastAsia" w:ascii="仿宋" w:hAnsi="仿宋" w:eastAsia="仿宋"/>
                <w:color w:val="000000"/>
                <w:sz w:val="28"/>
                <w:szCs w:val="28"/>
              </w:rPr>
              <w:t>表现优秀，学年综合测评成绩位列学院年级排名前20%</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r>
              <w:rPr>
                <w:rFonts w:hint="eastAsia" w:ascii="仿宋" w:hAnsi="仿宋" w:eastAsia="仿宋"/>
                <w:color w:val="000000"/>
                <w:sz w:val="28"/>
                <w:szCs w:val="28"/>
              </w:rPr>
              <w:t>， 或获得省级</w:t>
            </w:r>
            <w:r>
              <w:rPr>
                <w:rFonts w:hint="eastAsia" w:ascii="仿宋" w:hAnsi="仿宋" w:eastAsia="仿宋"/>
                <w:color w:val="000000"/>
                <w:sz w:val="28"/>
                <w:szCs w:val="28"/>
                <w:lang w:val="en-US" w:eastAsia="zh-CN"/>
              </w:rPr>
              <w:t>及</w:t>
            </w:r>
            <w:r>
              <w:rPr>
                <w:rFonts w:hint="eastAsia" w:ascii="仿宋" w:hAnsi="仿宋" w:eastAsia="仿宋"/>
                <w:color w:val="000000"/>
                <w:sz w:val="28"/>
                <w:szCs w:val="28"/>
              </w:rPr>
              <w:t>以上竞赛奖项（含团体奖项）且学年综合测评成绩位列学院年级排名前30%</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含</w:t>
            </w:r>
            <w:r>
              <w:rPr>
                <w:rFonts w:hint="eastAsia" w:ascii="仿宋" w:hAnsi="仿宋" w:eastAsia="仿宋"/>
                <w:color w:val="000000"/>
                <w:sz w:val="28"/>
                <w:szCs w:val="28"/>
                <w:lang w:eastAsia="zh-CN"/>
              </w:rPr>
              <w:t>）。</w:t>
            </w:r>
          </w:p>
          <w:p>
            <w:pPr>
              <w:keepNext w:val="0"/>
              <w:keepLines w:val="0"/>
              <w:suppressLineNumbers w:val="0"/>
              <w:spacing w:before="0" w:beforeAutospacing="0" w:after="0" w:afterAutospacing="0" w:line="240" w:lineRule="auto"/>
              <w:ind w:left="0" w:right="0" w:firstLine="560" w:firstLineChars="200"/>
              <w:rPr>
                <w:rFonts w:hint="default"/>
                <w:color w:val="000000"/>
              </w:rPr>
            </w:pPr>
            <w:r>
              <w:rPr>
                <w:rFonts w:hint="eastAsia" w:ascii="仿宋" w:hAnsi="仿宋" w:eastAsia="仿宋"/>
                <w:color w:val="000000"/>
                <w:sz w:val="28"/>
                <w:szCs w:val="28"/>
              </w:rPr>
              <w:t>获得校内单项奖励3项。（获奖奖项相同时，按照综合测评成绩排序）</w:t>
            </w:r>
          </w:p>
        </w:tc>
        <w:tc>
          <w:tcPr>
            <w:tcW w:w="923" w:type="dxa"/>
            <w:noWrap w:val="0"/>
            <w:vAlign w:val="center"/>
          </w:tcPr>
          <w:p>
            <w:pPr>
              <w:keepNext w:val="0"/>
              <w:keepLines w:val="0"/>
              <w:suppressLineNumbers w:val="0"/>
              <w:spacing w:before="0" w:beforeAutospacing="0" w:after="0" w:afterAutospacing="0" w:line="400" w:lineRule="exact"/>
              <w:ind w:left="0" w:right="0"/>
              <w:rPr>
                <w:rFonts w:hint="default" w:ascii="仿宋" w:hAnsi="仿宋" w:eastAsia="仿宋"/>
                <w:color w:val="000000"/>
                <w:sz w:val="28"/>
                <w:szCs w:val="28"/>
              </w:rPr>
            </w:pPr>
          </w:p>
        </w:tc>
      </w:tr>
    </w:tbl>
    <w:p>
      <w:pPr>
        <w:tabs>
          <w:tab w:val="left" w:pos="2100"/>
          <w:tab w:val="left" w:pos="4200"/>
          <w:tab w:val="left" w:pos="6300"/>
        </w:tabs>
        <w:spacing w:line="240" w:lineRule="auto"/>
        <w:ind w:firstLine="561" w:firstLineChars="200"/>
        <w:rPr>
          <w:rFonts w:hint="eastAsia" w:ascii="宋体" w:hAnsi="宋体" w:eastAsia="宋体" w:cs="宋体"/>
          <w:b/>
          <w:color w:val="000000"/>
          <w:sz w:val="28"/>
          <w:szCs w:val="28"/>
        </w:rPr>
      </w:pP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特别贡献奖</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lang w:eastAsia="zh-CN"/>
        </w:rPr>
      </w:pPr>
      <w:r>
        <w:rPr>
          <w:rFonts w:hint="eastAsia" w:ascii="Times New Roman" w:hAnsi="Times New Roman" w:eastAsia="宋体" w:cs="Times New Roman"/>
          <w:color w:val="000000"/>
          <w:sz w:val="28"/>
          <w:szCs w:val="28"/>
        </w:rPr>
        <w:t>表现优秀，学年综合测评成绩位列学院年级排名前50%</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lang w:val="en-US" w:eastAsia="zh-CN"/>
        </w:rPr>
        <w:t>含</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、获单项奖1颗星并同时获得以下奖项其中两项（评选名额不超过6人）</w:t>
      </w:r>
      <w:r>
        <w:rPr>
          <w:rFonts w:hint="eastAsia" w:ascii="Times New Roman" w:hAnsi="Times New Roman" w:eastAsia="宋体" w:cs="Times New Roman"/>
          <w:color w:val="000000"/>
          <w:sz w:val="28"/>
          <w:szCs w:val="28"/>
          <w:lang w:eastAsia="zh-CN"/>
        </w:rPr>
        <w:t>。</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（一）获国家奖学金；</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（二）获国家级技能竞赛（含团体奖项）三等奖以上；</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（三）在学术研究上取得显著成绩，以第一作者发表的论文被SCI、EI、ISTP、SSCI全文收录，以第一、第二出版学术专著（须通过专家鉴定）；</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（四）在创新发明方面取得显著成绩，获得通过专家鉴定的国家专利（不包括实用新型专利、外观设计专利）；</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五）在社会主义精神文明建设中表现突出，具有见义勇为、助人为乐、奉献爱心、服务社会、自立自强的实际行动，在全国、全省产生较大影响力，有助于树立良好的社会风尚（该项若获国家级报导，在全国产生较大影响力，可直接参评特别贡献奖）；</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六）获全国三好学生、全国优秀学生干部、全国社会实践先进个人、全国十大杰出青年、中国青年五四奖章、大学生年度人物、优秀共青团员等全国性荣誉称号或省级荣誉称号（该项若获国家级表彰可直接参评特别贡献奖）。</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第十一条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广科大学生年度人物</w:t>
      </w:r>
    </w:p>
    <w:p>
      <w:pPr>
        <w:tabs>
          <w:tab w:val="left" w:pos="2100"/>
          <w:tab w:val="left" w:pos="4200"/>
          <w:tab w:val="left" w:pos="6300"/>
        </w:tabs>
        <w:spacing w:line="360" w:lineRule="auto"/>
        <w:ind w:firstLine="560" w:firstLineChars="200"/>
        <w:rPr>
          <w:rFonts w:ascii="仿宋" w:hAnsi="仿宋" w:eastAsia="仿宋"/>
          <w:color w:val="000000"/>
          <w:sz w:val="28"/>
          <w:szCs w:val="28"/>
        </w:rPr>
      </w:pPr>
      <w:r>
        <w:rPr>
          <w:rFonts w:hint="eastAsia" w:ascii="Times New Roman" w:hAnsi="Times New Roman" w:eastAsia="宋体" w:cs="Times New Roman"/>
          <w:color w:val="000000"/>
          <w:sz w:val="28"/>
          <w:szCs w:val="28"/>
        </w:rPr>
        <w:t>从“广科之星”综合奖励一等奖、特别贡献奖中产生“广科大学生年度人物”，评选名额不超过10名。</w:t>
      </w:r>
    </w:p>
    <w:p>
      <w:pPr>
        <w:pageBreakBefore w:val="0"/>
        <w:kinsoku/>
        <w:wordWrap/>
        <w:overflowPunct/>
        <w:topLinePunct w:val="0"/>
        <w:bidi w:val="0"/>
        <w:spacing w:line="360" w:lineRule="auto"/>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第五章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奖励标准与发放</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第十二条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单项奖励标准</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颁发荣誉证书。</w:t>
      </w:r>
    </w:p>
    <w:p>
      <w:pPr>
        <w:tabs>
          <w:tab w:val="left" w:pos="2100"/>
          <w:tab w:val="left" w:pos="4200"/>
          <w:tab w:val="left" w:pos="6300"/>
        </w:tabs>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第十三条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“广科之星”综合奖励标准</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一等奖：10000元；</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二等奖：</w:t>
      </w:r>
      <w:r>
        <w:rPr>
          <w:rFonts w:hint="eastAsia" w:ascii="Times New Roman" w:hAnsi="Times New Roman" w:eastAsia="宋体" w:cs="Times New Roman"/>
          <w:color w:val="000000"/>
          <w:sz w:val="28"/>
          <w:szCs w:val="28"/>
          <w:lang w:val="en-US" w:eastAsia="zh-CN"/>
        </w:rPr>
        <w:t>8</w:t>
      </w:r>
      <w:r>
        <w:rPr>
          <w:rFonts w:hint="eastAsia" w:ascii="Times New Roman" w:hAnsi="Times New Roman" w:eastAsia="宋体" w:cs="Times New Roman"/>
          <w:color w:val="000000"/>
          <w:sz w:val="28"/>
          <w:szCs w:val="28"/>
        </w:rPr>
        <w:t>000元；</w:t>
      </w:r>
    </w:p>
    <w:p>
      <w:pPr>
        <w:tabs>
          <w:tab w:val="left" w:pos="2100"/>
          <w:tab w:val="left" w:pos="4200"/>
          <w:tab w:val="left" w:pos="6300"/>
        </w:tabs>
        <w:spacing w:line="360" w:lineRule="auto"/>
        <w:ind w:firstLine="560" w:firstLineChars="2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三等奖：</w:t>
      </w:r>
      <w:r>
        <w:rPr>
          <w:rFonts w:hint="eastAsia" w:ascii="Times New Roman" w:hAnsi="Times New Roman" w:eastAsia="宋体" w:cs="Times New Roman"/>
          <w:color w:val="000000"/>
          <w:sz w:val="28"/>
          <w:szCs w:val="28"/>
          <w:lang w:val="en-US" w:eastAsia="zh-CN"/>
        </w:rPr>
        <w:t>6</w:t>
      </w:r>
      <w:r>
        <w:rPr>
          <w:rFonts w:hint="eastAsia" w:ascii="Times New Roman" w:hAnsi="Times New Roman" w:eastAsia="宋体" w:cs="Times New Roman"/>
          <w:color w:val="000000"/>
          <w:sz w:val="28"/>
          <w:szCs w:val="28"/>
        </w:rPr>
        <w:t>000元。</w:t>
      </w:r>
    </w:p>
    <w:p>
      <w:pPr>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第十四条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“特别贡献奖”奖励标准：10000元。</w:t>
      </w:r>
    </w:p>
    <w:p>
      <w:pPr>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第十五条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“特别贡献奖”奖励奖金一次性发放给获奖学生，颁发荣誉证书。</w:t>
      </w:r>
    </w:p>
    <w:p>
      <w:pPr>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第十六条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获得国家奖学金的学生不能同时参评“广科之星”综合奖励；可参评单项奖励，发放荣誉证书。</w:t>
      </w:r>
    </w:p>
    <w:p>
      <w:pPr>
        <w:spacing w:line="360" w:lineRule="auto"/>
        <w:ind w:firstLine="561" w:firstLineChars="200"/>
        <w:rPr>
          <w:rFonts w:hint="eastAsia" w:ascii="Times New Roman" w:hAnsi="Times New Roman" w:eastAsia="宋体" w:cs="Times New Roman"/>
          <w:color w:val="000000"/>
          <w:sz w:val="28"/>
          <w:szCs w:val="28"/>
        </w:rPr>
      </w:pPr>
      <w:r>
        <w:rPr>
          <w:rFonts w:hint="eastAsia" w:ascii="宋体" w:hAnsi="宋体" w:eastAsia="宋体" w:cs="宋体"/>
          <w:b/>
          <w:color w:val="000000"/>
          <w:sz w:val="28"/>
          <w:szCs w:val="28"/>
        </w:rPr>
        <w:t>第十七条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获得“广科大学生年度人物”的学生，不发放奖励金，只颁发荣誉证书。</w:t>
      </w:r>
    </w:p>
    <w:p>
      <w:pPr>
        <w:spacing w:line="360" w:lineRule="auto"/>
        <w:ind w:firstLine="561" w:firstLineChars="200"/>
        <w:rPr>
          <w:rFonts w:hint="eastAsia" w:ascii="微软雅黑" w:hAnsi="微软雅黑" w:eastAsia="微软雅黑" w:cs="微软雅黑"/>
          <w:b/>
          <w:bCs/>
          <w:color w:val="000000"/>
          <w:sz w:val="28"/>
          <w:szCs w:val="28"/>
        </w:rPr>
      </w:pPr>
      <w:r>
        <w:rPr>
          <w:rFonts w:hint="eastAsia" w:ascii="宋体" w:hAnsi="宋体" w:eastAsia="宋体" w:cs="宋体"/>
          <w:b/>
          <w:color w:val="000000"/>
          <w:sz w:val="28"/>
          <w:szCs w:val="28"/>
        </w:rPr>
        <w:t>第十八条</w:t>
      </w:r>
      <w:r>
        <w:rPr>
          <w:rFonts w:hint="eastAsia" w:ascii="宋体" w:hAnsi="宋体" w:cs="宋体"/>
          <w:color w:val="000000"/>
          <w:sz w:val="28"/>
          <w:szCs w:val="28"/>
          <w:lang w:val="en-US" w:eastAsia="zh-CN"/>
        </w:rPr>
        <w:t xml:space="preserve"> </w:t>
      </w:r>
      <w:r>
        <w:rPr>
          <w:rFonts w:hint="eastAsia" w:ascii="Times New Roman" w:hAnsi="Times New Roman" w:eastAsia="宋体" w:cs="Times New Roman"/>
          <w:color w:val="000000"/>
          <w:sz w:val="28"/>
          <w:szCs w:val="28"/>
        </w:rPr>
        <w:t>二、三年级受奖励学生所获奖项由学校统一制作、颁发荣誉证书并召开全校大会给予表彰，受表彰学生事迹材料在全校进行宣传。</w:t>
      </w:r>
    </w:p>
    <w:p>
      <w:pPr>
        <w:pageBreakBefore w:val="0"/>
        <w:kinsoku/>
        <w:wordWrap/>
        <w:overflowPunct/>
        <w:topLinePunct w:val="0"/>
        <w:bidi w:val="0"/>
        <w:spacing w:line="360" w:lineRule="auto"/>
        <w:jc w:val="center"/>
        <w:textAlignment w:val="auto"/>
        <w:outlineLvl w:val="0"/>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第六章</w:t>
      </w:r>
      <w:r>
        <w:rPr>
          <w:rFonts w:hint="eastAsia" w:ascii="微软雅黑" w:hAnsi="微软雅黑" w:eastAsia="微软雅黑" w:cs="微软雅黑"/>
          <w:b/>
          <w:bCs/>
          <w:color w:val="000000"/>
          <w:sz w:val="28"/>
          <w:szCs w:val="28"/>
          <w:lang w:val="en-US" w:eastAsia="zh-CN"/>
        </w:rPr>
        <w:t xml:space="preserve"> </w:t>
      </w:r>
      <w:r>
        <w:rPr>
          <w:rFonts w:hint="eastAsia" w:ascii="微软雅黑" w:hAnsi="微软雅黑" w:eastAsia="微软雅黑" w:cs="微软雅黑"/>
          <w:b/>
          <w:bCs/>
          <w:color w:val="000000"/>
          <w:sz w:val="28"/>
          <w:szCs w:val="28"/>
        </w:rPr>
        <w:t>附 则</w:t>
      </w:r>
    </w:p>
    <w:p>
      <w:pPr>
        <w:spacing w:line="360" w:lineRule="auto"/>
        <w:ind w:firstLine="561" w:firstLineChars="200"/>
        <w:rPr>
          <w:rFonts w:hint="eastAsia" w:ascii="宋体" w:hAnsi="宋体" w:eastAsia="宋体" w:cs="宋体"/>
          <w:color w:val="000000"/>
          <w:sz w:val="28"/>
          <w:szCs w:val="28"/>
        </w:rPr>
      </w:pPr>
      <w:r>
        <w:rPr>
          <w:rFonts w:hint="eastAsia" w:ascii="宋体" w:hAnsi="宋体" w:eastAsia="宋体" w:cs="宋体"/>
          <w:b/>
          <w:color w:val="000000"/>
          <w:sz w:val="28"/>
          <w:szCs w:val="28"/>
        </w:rPr>
        <w:t>第十九条</w:t>
      </w:r>
      <w:r>
        <w:rPr>
          <w:rFonts w:hint="eastAsia" w:ascii="宋体" w:hAnsi="宋体" w:cs="宋体"/>
          <w:color w:val="000000"/>
          <w:sz w:val="28"/>
          <w:szCs w:val="28"/>
          <w:lang w:val="en-US" w:eastAsia="zh-CN"/>
        </w:rPr>
        <w:t xml:space="preserve"> </w:t>
      </w:r>
      <w:r>
        <w:rPr>
          <w:rFonts w:hint="eastAsia" w:ascii="宋体" w:hAnsi="宋体" w:eastAsia="宋体" w:cs="宋体"/>
          <w:color w:val="000000"/>
          <w:sz w:val="28"/>
          <w:szCs w:val="28"/>
        </w:rPr>
        <w:t>本办法由</w:t>
      </w:r>
      <w:r>
        <w:rPr>
          <w:rFonts w:hint="eastAsia" w:ascii="宋体" w:hAnsi="宋体" w:cs="宋体"/>
          <w:color w:val="000000"/>
          <w:sz w:val="28"/>
          <w:szCs w:val="28"/>
          <w:lang w:val="en-US" w:eastAsia="zh-CN"/>
        </w:rPr>
        <w:t>党委</w:t>
      </w:r>
      <w:r>
        <w:rPr>
          <w:rFonts w:hint="eastAsia" w:ascii="宋体" w:hAnsi="宋体" w:eastAsia="宋体" w:cs="宋体"/>
          <w:color w:val="000000"/>
          <w:sz w:val="28"/>
          <w:szCs w:val="28"/>
        </w:rPr>
        <w:t>学生工作部负责解释。</w:t>
      </w:r>
    </w:p>
    <w:p>
      <w:pPr>
        <w:spacing w:line="360" w:lineRule="auto"/>
        <w:ind w:firstLine="200"/>
        <w:jc w:val="both"/>
        <w:rPr>
          <w:rFonts w:hint="eastAsia" w:ascii="宋体" w:hAnsi="宋体" w:eastAsia="宋体" w:cs="宋体"/>
          <w:color w:val="000000"/>
          <w:sz w:val="28"/>
          <w:szCs w:val="28"/>
        </w:rPr>
      </w:pPr>
      <w:r>
        <w:rPr>
          <w:rFonts w:hint="eastAsia" w:ascii="宋体" w:hAnsi="宋体" w:eastAsia="宋体" w:cs="宋体"/>
          <w:b/>
          <w:color w:val="000000"/>
          <w:sz w:val="28"/>
          <w:szCs w:val="28"/>
          <w:lang w:val="en-US" w:eastAsia="zh-CN"/>
        </w:rPr>
        <w:t xml:space="preserve">   </w:t>
      </w:r>
      <w:r>
        <w:rPr>
          <w:rFonts w:hint="eastAsia" w:ascii="宋体" w:hAnsi="宋体" w:eastAsia="宋体" w:cs="宋体"/>
          <w:b/>
          <w:color w:val="000000"/>
          <w:sz w:val="28"/>
          <w:szCs w:val="28"/>
        </w:rPr>
        <w:t>第二十条</w:t>
      </w:r>
      <w:r>
        <w:rPr>
          <w:rFonts w:hint="eastAsia" w:ascii="宋体" w:hAnsi="宋体" w:cs="宋体"/>
          <w:color w:val="000000"/>
          <w:sz w:val="28"/>
          <w:szCs w:val="28"/>
          <w:lang w:val="en-US" w:eastAsia="zh-CN"/>
        </w:rPr>
        <w:t xml:space="preserve"> </w:t>
      </w:r>
      <w:r>
        <w:rPr>
          <w:rFonts w:hint="eastAsia" w:ascii="宋体" w:hAnsi="宋体" w:eastAsia="宋体" w:cs="宋体"/>
          <w:color w:val="000000"/>
          <w:sz w:val="28"/>
          <w:szCs w:val="28"/>
        </w:rPr>
        <w:t>本办法自发布之日起施行，原《广东科学技术职业学院学生奖励评审办法》（粤科职院院字〔2021〕106号）同时废止。</w:t>
      </w:r>
    </w:p>
    <w:p>
      <w:pPr>
        <w:spacing w:line="240" w:lineRule="auto"/>
        <w:ind w:firstLine="200"/>
        <w:jc w:val="both"/>
        <w:rPr>
          <w:rFonts w:hint="eastAsia" w:ascii="宋体" w:hAnsi="宋体" w:eastAsia="宋体" w:cs="宋体"/>
          <w:color w:val="000000"/>
          <w:sz w:val="28"/>
          <w:szCs w:val="28"/>
        </w:rPr>
      </w:pPr>
    </w:p>
    <w:p>
      <w:pPr>
        <w:tabs>
          <w:tab w:val="left" w:pos="1440"/>
          <w:tab w:val="left" w:pos="1620"/>
        </w:tabs>
        <w:spacing w:line="240" w:lineRule="auto"/>
        <w:ind w:left="1876" w:leftChars="760" w:hanging="280" w:hangingChars="100"/>
        <w:rPr>
          <w:rFonts w:hint="eastAsia" w:ascii="宋体" w:hAnsi="宋体" w:eastAsia="宋体" w:cs="宋体"/>
          <w:color w:val="000000"/>
          <w:sz w:val="28"/>
          <w:szCs w:val="28"/>
        </w:rPr>
      </w:pPr>
    </w:p>
    <w:p>
      <w:pPr>
        <w:ind w:left="0" w:leftChars="0" w:firstLine="0" w:firstLineChars="0"/>
      </w:pP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Heiti SC Medium">
    <w:panose1 w:val="02000000000000000000"/>
    <w:charset w:val="86"/>
    <w:family w:val="auto"/>
    <w:pitch w:val="default"/>
    <w:sig w:usb0="8000002F" w:usb1="0800004A" w:usb2="00000000" w:usb3="00000000" w:csb0="203E0000" w:csb1="00000000"/>
  </w:font>
  <w:font w:name="DejaVu Sans">
    <w:altName w:val="苹方-简"/>
    <w:panose1 w:val="02020603050405020304"/>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微软雅黑">
    <w:altName w:val="汉仪旗黑"/>
    <w:panose1 w:val="020B0503020204020204"/>
    <w:charset w:val="00"/>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F55F8"/>
    <w:rsid w:val="0FDE76EE"/>
    <w:rsid w:val="1FFE28B7"/>
    <w:rsid w:val="36BF55F8"/>
    <w:rsid w:val="5FFFBF34"/>
    <w:rsid w:val="7BBF2289"/>
    <w:rsid w:val="A9FF257A"/>
    <w:rsid w:val="ABF94D38"/>
    <w:rsid w:val="B77FD5F8"/>
    <w:rsid w:val="BC3E504C"/>
    <w:rsid w:val="BFBF7511"/>
    <w:rsid w:val="DE9F32AB"/>
    <w:rsid w:val="EFAC25AA"/>
    <w:rsid w:val="EFDF713F"/>
    <w:rsid w:val="FF59B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40" w:beforeLines="0" w:beforeAutospacing="0" w:after="140" w:afterLines="0" w:afterAutospacing="0" w:line="360" w:lineRule="auto"/>
      <w:outlineLvl w:val="0"/>
    </w:pPr>
    <w:rPr>
      <w:rFonts w:eastAsia="Heiti SC Medium" w:asciiTheme="minorAscii" w:hAnsiTheme="minorAscii"/>
      <w:b/>
      <w:kern w:val="44"/>
      <w:sz w:val="30"/>
      <w:szCs w:val="22"/>
    </w:rPr>
  </w:style>
  <w:style w:type="paragraph" w:styleId="3">
    <w:name w:val="heading 2"/>
    <w:basedOn w:val="1"/>
    <w:next w:val="1"/>
    <w:unhideWhenUsed/>
    <w:qFormat/>
    <w:uiPriority w:val="0"/>
    <w:pPr>
      <w:keepNext/>
      <w:keepLines/>
      <w:spacing w:before="140" w:beforeLines="0" w:beforeAutospacing="0" w:after="140" w:afterLines="0" w:afterAutospacing="0" w:line="360" w:lineRule="auto"/>
      <w:outlineLvl w:val="1"/>
    </w:pPr>
    <w:rPr>
      <w:rFonts w:ascii="DejaVu Sans" w:hAnsi="DejaVu Sans" w:eastAsia="Heiti SC Medium"/>
      <w:b/>
      <w:sz w:val="28"/>
      <w:szCs w:val="22"/>
    </w:rPr>
  </w:style>
  <w:style w:type="paragraph" w:styleId="4">
    <w:name w:val="heading 3"/>
    <w:basedOn w:val="1"/>
    <w:next w:val="1"/>
    <w:unhideWhenUsed/>
    <w:qFormat/>
    <w:uiPriority w:val="0"/>
    <w:pPr>
      <w:keepNext/>
      <w:keepLines/>
      <w:spacing w:before="140" w:beforeLines="0" w:beforeAutospacing="0" w:after="140" w:afterLines="0" w:afterAutospacing="0" w:line="360" w:lineRule="auto"/>
      <w:ind w:firstLine="643" w:firstLineChars="200"/>
      <w:outlineLvl w:val="2"/>
    </w:pPr>
    <w:rPr>
      <w:rFonts w:eastAsia="Heiti SC Medium" w:asciiTheme="minorAscii" w:hAnsiTheme="minorAscii"/>
      <w:b/>
      <w:sz w:val="28"/>
      <w:szCs w:val="2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7C2F611323F69637762F54655CEF7074_41</vt:lpwstr>
  </property>
</Properties>
</file>