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sz w:val="44"/>
          <w:szCs w:val="44"/>
        </w:rPr>
      </w:pPr>
      <w:r>
        <w:rPr>
          <w:rFonts w:hint="eastAsia" w:ascii="宋体" w:hAnsi="宋体" w:eastAsia="宋体"/>
          <w:b/>
          <w:sz w:val="44"/>
          <w:szCs w:val="44"/>
        </w:rPr>
        <w:t>项目需求书</w:t>
      </w:r>
    </w:p>
    <w:p>
      <w:pPr>
        <w:pStyle w:val="8"/>
        <w:numPr>
          <w:ilvl w:val="0"/>
          <w:numId w:val="1"/>
        </w:numPr>
        <w:ind w:firstLineChars="0"/>
        <w:rPr>
          <w:rFonts w:ascii="仿宋" w:hAnsi="仿宋" w:eastAsia="仿宋"/>
          <w:b/>
          <w:sz w:val="32"/>
          <w:szCs w:val="32"/>
        </w:rPr>
      </w:pPr>
      <w:r>
        <w:rPr>
          <w:rFonts w:hint="eastAsia" w:ascii="仿宋" w:hAnsi="仿宋" w:eastAsia="仿宋"/>
          <w:b/>
          <w:sz w:val="32"/>
          <w:szCs w:val="32"/>
        </w:rPr>
        <w:t>项目说明</w:t>
      </w:r>
    </w:p>
    <w:p>
      <w:pPr>
        <w:rPr>
          <w:rFonts w:ascii="仿宋" w:hAnsi="仿宋" w:eastAsia="仿宋"/>
          <w:sz w:val="32"/>
          <w:szCs w:val="32"/>
        </w:rPr>
      </w:pPr>
      <w:r>
        <w:rPr>
          <w:rFonts w:hint="eastAsia" w:ascii="仿宋" w:hAnsi="仿宋" w:eastAsia="仿宋"/>
          <w:sz w:val="32"/>
          <w:szCs w:val="32"/>
        </w:rPr>
        <w:t>开发内容：</w:t>
      </w:r>
    </w:p>
    <w:tbl>
      <w:tblPr>
        <w:tblStyle w:val="5"/>
        <w:tblW w:w="10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440"/>
        <w:gridCol w:w="5518"/>
        <w:gridCol w:w="875"/>
        <w:gridCol w:w="813"/>
        <w:gridCol w:w="1231"/>
      </w:tblGrid>
      <w:tr>
        <w:trPr>
          <w:trHeight w:val="526" w:hRule="atLeast"/>
          <w:jc w:val="center"/>
        </w:trPr>
        <w:tc>
          <w:tcPr>
            <w:tcW w:w="704" w:type="dxa"/>
            <w:vAlign w:val="center"/>
          </w:tcPr>
          <w:p>
            <w:pPr>
              <w:adjustRightInd w:val="0"/>
              <w:snapToGrid w:val="0"/>
              <w:spacing w:line="360" w:lineRule="auto"/>
              <w:jc w:val="center"/>
              <w:rPr>
                <w:rFonts w:ascii="仿宋" w:hAnsi="仿宋" w:eastAsia="仿宋"/>
                <w:bCs/>
                <w:sz w:val="24"/>
              </w:rPr>
            </w:pPr>
            <w:r>
              <w:rPr>
                <w:rFonts w:hint="eastAsia" w:ascii="仿宋" w:hAnsi="仿宋" w:eastAsia="仿宋"/>
                <w:bCs/>
                <w:sz w:val="24"/>
              </w:rPr>
              <w:t>序号</w:t>
            </w:r>
          </w:p>
        </w:tc>
        <w:tc>
          <w:tcPr>
            <w:tcW w:w="1440" w:type="dxa"/>
            <w:vAlign w:val="center"/>
          </w:tcPr>
          <w:p>
            <w:pPr>
              <w:adjustRightInd w:val="0"/>
              <w:snapToGrid w:val="0"/>
              <w:spacing w:line="360" w:lineRule="auto"/>
              <w:jc w:val="center"/>
              <w:rPr>
                <w:rFonts w:ascii="仿宋" w:hAnsi="仿宋" w:eastAsia="仿宋"/>
                <w:bCs/>
                <w:sz w:val="24"/>
              </w:rPr>
            </w:pPr>
            <w:r>
              <w:rPr>
                <w:rFonts w:hint="eastAsia" w:ascii="仿宋" w:hAnsi="仿宋" w:eastAsia="仿宋"/>
                <w:bCs/>
                <w:sz w:val="24"/>
              </w:rPr>
              <w:t>项目内容</w:t>
            </w:r>
          </w:p>
        </w:tc>
        <w:tc>
          <w:tcPr>
            <w:tcW w:w="5518" w:type="dxa"/>
            <w:vAlign w:val="center"/>
          </w:tcPr>
          <w:p>
            <w:pPr>
              <w:adjustRightInd w:val="0"/>
              <w:snapToGrid w:val="0"/>
              <w:spacing w:line="360" w:lineRule="auto"/>
              <w:jc w:val="center"/>
              <w:rPr>
                <w:rFonts w:ascii="仿宋" w:hAnsi="仿宋" w:eastAsia="仿宋"/>
                <w:bCs/>
                <w:sz w:val="24"/>
              </w:rPr>
            </w:pPr>
            <w:r>
              <w:rPr>
                <w:rFonts w:hint="eastAsia" w:ascii="仿宋" w:hAnsi="仿宋" w:eastAsia="仿宋"/>
                <w:bCs/>
                <w:sz w:val="24"/>
              </w:rPr>
              <w:t>★交货期</w:t>
            </w:r>
          </w:p>
        </w:tc>
        <w:tc>
          <w:tcPr>
            <w:tcW w:w="875" w:type="dxa"/>
            <w:vAlign w:val="center"/>
          </w:tcPr>
          <w:p>
            <w:pPr>
              <w:adjustRightInd w:val="0"/>
              <w:snapToGrid w:val="0"/>
              <w:spacing w:line="360" w:lineRule="auto"/>
              <w:jc w:val="center"/>
              <w:rPr>
                <w:rFonts w:ascii="仿宋" w:hAnsi="仿宋" w:eastAsia="仿宋"/>
                <w:bCs/>
                <w:sz w:val="24"/>
              </w:rPr>
            </w:pPr>
            <w:r>
              <w:rPr>
                <w:rFonts w:hint="eastAsia" w:ascii="仿宋" w:hAnsi="仿宋" w:eastAsia="仿宋"/>
                <w:bCs/>
                <w:sz w:val="24"/>
              </w:rPr>
              <w:t>单位</w:t>
            </w:r>
          </w:p>
        </w:tc>
        <w:tc>
          <w:tcPr>
            <w:tcW w:w="813" w:type="dxa"/>
            <w:vAlign w:val="center"/>
          </w:tcPr>
          <w:p>
            <w:pPr>
              <w:adjustRightInd w:val="0"/>
              <w:snapToGrid w:val="0"/>
              <w:spacing w:line="360" w:lineRule="auto"/>
              <w:jc w:val="center"/>
              <w:rPr>
                <w:rFonts w:ascii="仿宋" w:hAnsi="仿宋" w:eastAsia="仿宋"/>
                <w:bCs/>
                <w:sz w:val="24"/>
              </w:rPr>
            </w:pPr>
            <w:r>
              <w:rPr>
                <w:rFonts w:hint="eastAsia" w:ascii="仿宋" w:hAnsi="仿宋" w:eastAsia="仿宋"/>
                <w:bCs/>
                <w:sz w:val="24"/>
              </w:rPr>
              <w:t>数量</w:t>
            </w:r>
          </w:p>
        </w:tc>
        <w:tc>
          <w:tcPr>
            <w:tcW w:w="1231" w:type="dxa"/>
            <w:vAlign w:val="center"/>
          </w:tcPr>
          <w:p>
            <w:pPr>
              <w:adjustRightInd w:val="0"/>
              <w:snapToGrid w:val="0"/>
              <w:spacing w:line="360" w:lineRule="auto"/>
              <w:jc w:val="center"/>
              <w:rPr>
                <w:rFonts w:ascii="仿宋" w:hAnsi="仿宋" w:eastAsia="仿宋"/>
                <w:bCs/>
                <w:sz w:val="24"/>
              </w:rPr>
            </w:pPr>
            <w:bookmarkStart w:id="0" w:name="_Hlk62807223"/>
            <w:r>
              <w:rPr>
                <w:rFonts w:hint="eastAsia" w:ascii="仿宋" w:hAnsi="仿宋" w:eastAsia="仿宋"/>
                <w:bCs/>
                <w:sz w:val="24"/>
              </w:rPr>
              <w:t>项目预算</w:t>
            </w:r>
            <w:bookmarkEnd w:id="0"/>
          </w:p>
          <w:p>
            <w:pPr>
              <w:adjustRightInd w:val="0"/>
              <w:snapToGrid w:val="0"/>
              <w:spacing w:line="360" w:lineRule="auto"/>
              <w:jc w:val="center"/>
              <w:rPr>
                <w:rFonts w:ascii="仿宋" w:hAnsi="仿宋" w:eastAsia="仿宋"/>
              </w:rPr>
            </w:pPr>
            <w:r>
              <w:rPr>
                <w:rFonts w:hint="eastAsia" w:ascii="仿宋" w:hAnsi="仿宋" w:eastAsia="仿宋"/>
                <w:bCs/>
                <w:sz w:val="24"/>
              </w:rPr>
              <w:t>（万元）</w:t>
            </w:r>
          </w:p>
        </w:tc>
      </w:tr>
      <w:tr>
        <w:trPr>
          <w:trHeight w:val="1691" w:hRule="atLeast"/>
          <w:jc w:val="center"/>
        </w:trPr>
        <w:tc>
          <w:tcPr>
            <w:tcW w:w="704" w:type="dxa"/>
            <w:vAlign w:val="center"/>
          </w:tcPr>
          <w:p>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1</w:t>
            </w:r>
          </w:p>
        </w:tc>
        <w:tc>
          <w:tcPr>
            <w:tcW w:w="1440" w:type="dxa"/>
            <w:vAlign w:val="center"/>
          </w:tcPr>
          <w:p>
            <w:pPr>
              <w:adjustRightInd w:val="0"/>
              <w:snapToGrid w:val="0"/>
              <w:spacing w:line="360" w:lineRule="auto"/>
              <w:jc w:val="center"/>
              <w:rPr>
                <w:rFonts w:ascii="仿宋" w:hAnsi="仿宋" w:eastAsia="仿宋"/>
                <w:color w:val="auto"/>
                <w:sz w:val="24"/>
              </w:rPr>
            </w:pPr>
            <w:r>
              <w:rPr>
                <w:rFonts w:hint="eastAsia" w:ascii="仿宋" w:hAnsi="仿宋" w:eastAsia="仿宋"/>
                <w:color w:val="auto"/>
                <w:sz w:val="24"/>
                <w:lang w:val="en-US" w:eastAsia="zh-CN"/>
              </w:rPr>
              <w:t>绩效考核系统升级</w:t>
            </w:r>
            <w:r>
              <w:rPr>
                <w:rFonts w:hint="eastAsia" w:ascii="仿宋" w:hAnsi="仿宋" w:eastAsia="仿宋"/>
                <w:color w:val="auto"/>
                <w:sz w:val="24"/>
              </w:rPr>
              <w:t>项目</w:t>
            </w:r>
          </w:p>
        </w:tc>
        <w:tc>
          <w:tcPr>
            <w:tcW w:w="5518" w:type="dxa"/>
            <w:vAlign w:val="center"/>
          </w:tcPr>
          <w:p>
            <w:pPr>
              <w:adjustRightInd w:val="0"/>
              <w:snapToGrid w:val="0"/>
              <w:spacing w:line="360" w:lineRule="auto"/>
              <w:jc w:val="left"/>
              <w:rPr>
                <w:rFonts w:ascii="仿宋" w:hAnsi="仿宋" w:eastAsia="仿宋"/>
                <w:bCs/>
                <w:color w:val="auto"/>
                <w:sz w:val="24"/>
              </w:rPr>
            </w:pPr>
            <w:r>
              <w:rPr>
                <w:rFonts w:hint="eastAsia" w:ascii="仿宋" w:hAnsi="仿宋" w:eastAsia="仿宋"/>
                <w:bCs/>
                <w:color w:val="auto"/>
                <w:sz w:val="24"/>
              </w:rPr>
              <w:t>合同签订生效后</w:t>
            </w:r>
            <w:r>
              <w:rPr>
                <w:rFonts w:hint="eastAsia" w:ascii="仿宋" w:hAnsi="仿宋" w:eastAsia="仿宋"/>
                <w:bCs/>
                <w:color w:val="auto"/>
                <w:sz w:val="24"/>
                <w:lang w:val="en-US" w:eastAsia="zh-CN"/>
              </w:rPr>
              <w:t>一</w:t>
            </w:r>
            <w:r>
              <w:rPr>
                <w:rFonts w:hint="eastAsia" w:ascii="仿宋" w:hAnsi="仿宋" w:eastAsia="仿宋"/>
                <w:bCs/>
                <w:color w:val="auto"/>
                <w:sz w:val="24"/>
              </w:rPr>
              <w:t>个月内完成业务需求整理分析、系统的功能建设并投入实际试运行。（如因不可抗力因素，与需求方协商调整交货期）</w:t>
            </w:r>
          </w:p>
        </w:tc>
        <w:tc>
          <w:tcPr>
            <w:tcW w:w="875" w:type="dxa"/>
            <w:vAlign w:val="center"/>
          </w:tcPr>
          <w:p>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项目</w:t>
            </w:r>
          </w:p>
        </w:tc>
        <w:tc>
          <w:tcPr>
            <w:tcW w:w="813" w:type="dxa"/>
            <w:vAlign w:val="center"/>
          </w:tcPr>
          <w:p>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1</w:t>
            </w:r>
          </w:p>
        </w:tc>
        <w:tc>
          <w:tcPr>
            <w:tcW w:w="1231" w:type="dxa"/>
            <w:vAlign w:val="center"/>
          </w:tcPr>
          <w:p>
            <w:pPr>
              <w:adjustRightInd w:val="0"/>
              <w:snapToGrid w:val="0"/>
              <w:spacing w:line="360" w:lineRule="auto"/>
              <w:jc w:val="center"/>
              <w:rPr>
                <w:rFonts w:hint="default" w:ascii="仿宋" w:hAnsi="仿宋" w:eastAsia="仿宋"/>
                <w:bCs/>
                <w:color w:val="auto"/>
                <w:sz w:val="24"/>
                <w:lang w:val="en-US" w:eastAsia="zh-CN"/>
              </w:rPr>
            </w:pPr>
            <w:r>
              <w:rPr>
                <w:rFonts w:hint="eastAsia" w:ascii="仿宋" w:hAnsi="仿宋" w:eastAsia="仿宋"/>
                <w:bCs/>
                <w:color w:val="auto"/>
                <w:sz w:val="24"/>
                <w:lang w:val="en-US" w:eastAsia="zh-CN"/>
              </w:rPr>
              <w:t>4.5</w:t>
            </w:r>
          </w:p>
        </w:tc>
      </w:tr>
    </w:tbl>
    <w:p>
      <w:pPr>
        <w:adjustRightInd w:val="0"/>
        <w:snapToGrid w:val="0"/>
        <w:spacing w:line="360" w:lineRule="auto"/>
        <w:jc w:val="left"/>
        <w:rPr>
          <w:rFonts w:ascii="Times New Roman" w:hAnsi="Times New Roman" w:eastAsia="仿宋" w:cs="Times New Roman"/>
          <w:b/>
          <w:bCs/>
          <w:kern w:val="44"/>
          <w:sz w:val="32"/>
          <w:szCs w:val="44"/>
        </w:rPr>
      </w:pPr>
    </w:p>
    <w:p>
      <w:pPr>
        <w:pStyle w:val="8"/>
        <w:numPr>
          <w:ilvl w:val="0"/>
          <w:numId w:val="1"/>
        </w:numPr>
        <w:ind w:firstLineChars="0"/>
        <w:rPr>
          <w:rFonts w:ascii="仿宋" w:hAnsi="仿宋" w:eastAsia="仿宋"/>
          <w:b/>
          <w:sz w:val="32"/>
          <w:szCs w:val="32"/>
        </w:rPr>
      </w:pPr>
      <w:r>
        <w:rPr>
          <w:rFonts w:hint="eastAsia" w:ascii="仿宋" w:hAnsi="仿宋" w:eastAsia="仿宋"/>
          <w:b/>
          <w:sz w:val="32"/>
          <w:szCs w:val="32"/>
        </w:rPr>
        <w:t>项目基本概况</w:t>
      </w:r>
    </w:p>
    <w:p>
      <w:pPr>
        <w:pStyle w:val="7"/>
        <w:spacing w:line="360" w:lineRule="auto"/>
        <w:ind w:left="-619" w:leftChars="-295" w:firstLine="618" w:firstLineChars="182"/>
        <w:outlineLvl w:val="0"/>
        <w:rPr>
          <w:rFonts w:hint="eastAsia" w:ascii="仿宋" w:hAnsi="仿宋" w:eastAsia="仿宋" w:cs="Times New Roman"/>
          <w:bCs/>
          <w:color w:val="000000" w:themeColor="text1"/>
          <w:sz w:val="32"/>
          <w:szCs w:val="32"/>
          <w:lang w:eastAsia="zh-CN"/>
          <w14:textFill>
            <w14:solidFill>
              <w14:schemeClr w14:val="tx1"/>
            </w14:solidFill>
          </w14:textFill>
        </w:rPr>
      </w:pPr>
      <w:bookmarkStart w:id="1" w:name="_Toc729"/>
      <w:bookmarkStart w:id="2" w:name="_Toc14693"/>
      <w:r>
        <w:rPr>
          <w:rFonts w:hint="eastAsia" w:ascii="仿宋" w:hAnsi="仿宋" w:eastAsia="仿宋" w:cs="Times New Roman"/>
          <w:bCs/>
          <w:color w:val="000000" w:themeColor="text1"/>
          <w:sz w:val="32"/>
          <w:szCs w:val="32"/>
          <w14:textFill>
            <w14:solidFill>
              <w14:schemeClr w14:val="tx1"/>
            </w14:solidFill>
          </w14:textFill>
        </w:rPr>
        <w:t>根据新修订的《广东科学技术职业学院事业编制教职工奖励性绩效工资考核分配办法（2023年修订版）》</w:t>
      </w:r>
      <w:r>
        <w:rPr>
          <w:rFonts w:hint="eastAsia" w:ascii="仿宋" w:hAnsi="仿宋" w:eastAsia="仿宋" w:cs="Times New Roman"/>
          <w:bCs/>
          <w:color w:val="000000" w:themeColor="text1"/>
          <w:sz w:val="32"/>
          <w:szCs w:val="32"/>
          <w:lang w:val="en-US" w:eastAsia="zh-CN"/>
          <w14:textFill>
            <w14:solidFill>
              <w14:schemeClr w14:val="tx1"/>
            </w14:solidFill>
          </w14:textFill>
        </w:rPr>
        <w:t>以及</w:t>
      </w:r>
      <w:r>
        <w:rPr>
          <w:rFonts w:hint="eastAsia" w:ascii="仿宋" w:hAnsi="仿宋" w:eastAsia="仿宋" w:cs="Times New Roman"/>
          <w:bCs/>
          <w:color w:val="000000" w:themeColor="text1"/>
          <w:sz w:val="32"/>
          <w:szCs w:val="32"/>
          <w14:textFill>
            <w14:solidFill>
              <w14:schemeClr w14:val="tx1"/>
            </w14:solidFill>
          </w14:textFill>
        </w:rPr>
        <w:t>学校2023年部门绩效考核工作的安排，</w:t>
      </w:r>
      <w:r>
        <w:rPr>
          <w:rFonts w:hint="eastAsia" w:ascii="仿宋" w:hAnsi="仿宋" w:eastAsia="仿宋" w:cs="Times New Roman"/>
          <w:bCs/>
          <w:color w:val="000000" w:themeColor="text1"/>
          <w:sz w:val="32"/>
          <w:szCs w:val="32"/>
          <w:lang w:val="en-US" w:eastAsia="zh-CN"/>
          <w14:textFill>
            <w14:solidFill>
              <w14:schemeClr w14:val="tx1"/>
            </w14:solidFill>
          </w14:textFill>
        </w:rPr>
        <w:t>11月中下旬</w:t>
      </w:r>
      <w:r>
        <w:rPr>
          <w:rFonts w:hint="eastAsia" w:ascii="仿宋" w:hAnsi="仿宋" w:eastAsia="仿宋" w:cs="Times New Roman"/>
          <w:bCs/>
          <w:color w:val="000000" w:themeColor="text1"/>
          <w:sz w:val="32"/>
          <w:szCs w:val="32"/>
          <w14:textFill>
            <w14:solidFill>
              <w14:schemeClr w14:val="tx1"/>
            </w14:solidFill>
          </w14:textFill>
        </w:rPr>
        <w:t>将启动2023年</w:t>
      </w:r>
      <w:r>
        <w:rPr>
          <w:rFonts w:hint="eastAsia" w:ascii="仿宋" w:hAnsi="仿宋" w:eastAsia="仿宋" w:cs="Times New Roman"/>
          <w:bCs/>
          <w:color w:val="000000" w:themeColor="text1"/>
          <w:sz w:val="32"/>
          <w:szCs w:val="32"/>
          <w:lang w:val="en-US" w:eastAsia="zh-CN"/>
          <w14:textFill>
            <w14:solidFill>
              <w14:schemeClr w14:val="tx1"/>
            </w14:solidFill>
          </w14:textFill>
        </w:rPr>
        <w:t>二级</w:t>
      </w:r>
      <w:r>
        <w:rPr>
          <w:rFonts w:hint="eastAsia" w:ascii="仿宋" w:hAnsi="仿宋" w:eastAsia="仿宋" w:cs="Times New Roman"/>
          <w:bCs/>
          <w:color w:val="000000" w:themeColor="text1"/>
          <w:sz w:val="32"/>
          <w:szCs w:val="32"/>
          <w14:textFill>
            <w14:solidFill>
              <w14:schemeClr w14:val="tx1"/>
            </w14:solidFill>
          </w14:textFill>
        </w:rPr>
        <w:t>部门绩效年度考核工作，由于</w:t>
      </w:r>
      <w:r>
        <w:rPr>
          <w:rFonts w:hint="eastAsia" w:ascii="仿宋" w:hAnsi="仿宋" w:eastAsia="仿宋" w:cs="Times New Roman"/>
          <w:bCs/>
          <w:color w:val="000000" w:themeColor="text1"/>
          <w:sz w:val="32"/>
          <w:szCs w:val="32"/>
          <w:lang w:eastAsia="zh-CN"/>
          <w14:textFill>
            <w14:solidFill>
              <w14:schemeClr w14:val="tx1"/>
            </w14:solidFill>
          </w14:textFill>
        </w:rPr>
        <w:t>《二级学院改革绩效计分表》</w:t>
      </w:r>
      <w:r>
        <w:rPr>
          <w:rFonts w:hint="eastAsia" w:ascii="仿宋" w:hAnsi="仿宋" w:eastAsia="仿宋" w:cs="Times New Roman"/>
          <w:bCs/>
          <w:color w:val="000000" w:themeColor="text1"/>
          <w:sz w:val="32"/>
          <w:szCs w:val="32"/>
          <w:lang w:val="en-US" w:eastAsia="zh-CN"/>
          <w14:textFill>
            <w14:solidFill>
              <w14:schemeClr w14:val="tx1"/>
            </w14:solidFill>
          </w14:textFill>
        </w:rPr>
        <w:t>、《党政职能、教辅部门绩效考核计分表》考核指标以及考核内容</w:t>
      </w:r>
      <w:r>
        <w:rPr>
          <w:rFonts w:hint="eastAsia" w:ascii="仿宋" w:hAnsi="仿宋" w:eastAsia="仿宋" w:cs="Times New Roman"/>
          <w:bCs/>
          <w:color w:val="000000" w:themeColor="text1"/>
          <w:sz w:val="32"/>
          <w:szCs w:val="32"/>
          <w14:textFill>
            <w14:solidFill>
              <w14:schemeClr w14:val="tx1"/>
            </w14:solidFill>
          </w14:textFill>
        </w:rPr>
        <w:t>较2022年有大幅调整</w:t>
      </w:r>
      <w:r>
        <w:rPr>
          <w:rFonts w:hint="eastAsia" w:ascii="仿宋" w:hAnsi="仿宋" w:eastAsia="仿宋" w:cs="Times New Roman"/>
          <w:bCs/>
          <w:color w:val="000000" w:themeColor="text1"/>
          <w:sz w:val="32"/>
          <w:szCs w:val="32"/>
          <w:lang w:eastAsia="zh-CN"/>
          <w14:textFill>
            <w14:solidFill>
              <w14:schemeClr w14:val="tx1"/>
            </w14:solidFill>
          </w14:textFill>
        </w:rPr>
        <w:t>（</w:t>
      </w:r>
      <w:r>
        <w:rPr>
          <w:rFonts w:hint="eastAsia" w:ascii="仿宋" w:hAnsi="仿宋" w:eastAsia="仿宋" w:cs="Times New Roman"/>
          <w:bCs/>
          <w:color w:val="000000" w:themeColor="text1"/>
          <w:sz w:val="32"/>
          <w:szCs w:val="32"/>
          <w14:textFill>
            <w14:solidFill>
              <w14:schemeClr w14:val="tx1"/>
            </w14:solidFill>
          </w14:textFill>
        </w:rPr>
        <w:t>详见附件</w:t>
      </w:r>
      <w:r>
        <w:rPr>
          <w:rFonts w:hint="eastAsia" w:ascii="仿宋" w:hAnsi="仿宋" w:eastAsia="仿宋" w:cs="Times New Roman"/>
          <w:bCs/>
          <w:color w:val="000000" w:themeColor="text1"/>
          <w:sz w:val="32"/>
          <w:szCs w:val="32"/>
          <w:lang w:eastAsia="zh-CN"/>
          <w14:textFill>
            <w14:solidFill>
              <w14:schemeClr w14:val="tx1"/>
            </w14:solidFill>
          </w14:textFill>
        </w:rPr>
        <w:t>《二级学院改革绩效计分表》</w:t>
      </w:r>
      <w:r>
        <w:rPr>
          <w:rFonts w:hint="eastAsia" w:ascii="仿宋" w:hAnsi="仿宋" w:eastAsia="仿宋" w:cs="Times New Roman"/>
          <w:bCs/>
          <w:color w:val="000000" w:themeColor="text1"/>
          <w:sz w:val="32"/>
          <w:szCs w:val="32"/>
          <w:lang w:val="en-US" w:eastAsia="zh-CN"/>
          <w14:textFill>
            <w14:solidFill>
              <w14:schemeClr w14:val="tx1"/>
            </w14:solidFill>
          </w14:textFill>
        </w:rPr>
        <w:t>和《党政职能、教辅部门绩效考核计分表》标红版</w:t>
      </w:r>
      <w:r>
        <w:rPr>
          <w:rFonts w:hint="eastAsia" w:ascii="仿宋" w:hAnsi="仿宋" w:eastAsia="仿宋" w:cs="Times New Roman"/>
          <w:bCs/>
          <w:color w:val="000000" w:themeColor="text1"/>
          <w:sz w:val="32"/>
          <w:szCs w:val="32"/>
          <w:lang w:eastAsia="zh-CN"/>
          <w14:textFill>
            <w14:solidFill>
              <w14:schemeClr w14:val="tx1"/>
            </w14:solidFill>
          </w14:textFill>
        </w:rPr>
        <w:t>）</w:t>
      </w:r>
      <w:r>
        <w:rPr>
          <w:rFonts w:hint="eastAsia" w:ascii="仿宋" w:hAnsi="仿宋" w:eastAsia="仿宋" w:cs="Times New Roman"/>
          <w:bCs/>
          <w:color w:val="000000" w:themeColor="text1"/>
          <w:sz w:val="32"/>
          <w:szCs w:val="32"/>
          <w14:textFill>
            <w14:solidFill>
              <w14:schemeClr w14:val="tx1"/>
            </w14:solidFill>
          </w14:textFill>
        </w:rPr>
        <w:t>决定启动《2023版广科绩效考核系统升级》项目，开发项目包括后端接口，前端UI修改，教师绩效修改，学院绩效修改，评分规则修改等，工作量详见</w:t>
      </w:r>
      <w:r>
        <w:rPr>
          <w:rFonts w:hint="eastAsia" w:ascii="仿宋" w:hAnsi="仿宋" w:eastAsia="仿宋" w:cs="Times New Roman"/>
          <w:bCs/>
          <w:color w:val="000000" w:themeColor="text1"/>
          <w:sz w:val="32"/>
          <w:szCs w:val="32"/>
          <w:lang w:eastAsia="zh-CN"/>
          <w14:textFill>
            <w14:solidFill>
              <w14:schemeClr w14:val="tx1"/>
            </w14:solidFill>
          </w14:textFill>
        </w:rPr>
        <w:t>《绩效考核平台升级工作内容》</w:t>
      </w:r>
      <w:r>
        <w:rPr>
          <w:rFonts w:hint="eastAsia" w:ascii="仿宋" w:hAnsi="仿宋" w:eastAsia="仿宋" w:cs="Times New Roman"/>
          <w:bCs/>
          <w:color w:val="000000" w:themeColor="text1"/>
          <w:sz w:val="32"/>
          <w:szCs w:val="32"/>
          <w14:textFill>
            <w14:solidFill>
              <w14:schemeClr w14:val="tx1"/>
            </w14:solidFill>
          </w14:textFill>
        </w:rPr>
        <w:t>，经费预算</w:t>
      </w:r>
      <w:r>
        <w:rPr>
          <w:rFonts w:hint="eastAsia" w:ascii="仿宋" w:hAnsi="仿宋" w:eastAsia="仿宋" w:cs="Times New Roman"/>
          <w:bCs/>
          <w:color w:val="000000" w:themeColor="text1"/>
          <w:sz w:val="32"/>
          <w:szCs w:val="32"/>
          <w:lang w:val="en-US" w:eastAsia="zh-CN"/>
          <w14:textFill>
            <w14:solidFill>
              <w14:schemeClr w14:val="tx1"/>
            </w14:solidFill>
          </w14:textFill>
        </w:rPr>
        <w:t>约</w:t>
      </w:r>
      <w:r>
        <w:rPr>
          <w:rFonts w:hint="eastAsia" w:ascii="仿宋" w:hAnsi="仿宋" w:eastAsia="仿宋" w:cs="Times New Roman"/>
          <w:bCs/>
          <w:color w:val="000000" w:themeColor="text1"/>
          <w:sz w:val="32"/>
          <w:szCs w:val="32"/>
          <w14:textFill>
            <w14:solidFill>
              <w14:schemeClr w14:val="tx1"/>
            </w14:solidFill>
          </w14:textFill>
        </w:rPr>
        <w:t>为</w:t>
      </w:r>
      <w:r>
        <w:rPr>
          <w:rFonts w:hint="eastAsia" w:ascii="仿宋" w:hAnsi="仿宋" w:eastAsia="仿宋" w:cs="Times New Roman"/>
          <w:bCs/>
          <w:color w:val="000000" w:themeColor="text1"/>
          <w:sz w:val="32"/>
          <w:szCs w:val="32"/>
          <w:lang w:val="en-US" w:eastAsia="zh-CN"/>
          <w14:textFill>
            <w14:solidFill>
              <w14:schemeClr w14:val="tx1"/>
            </w14:solidFill>
          </w14:textFill>
        </w:rPr>
        <w:t>4.5万</w:t>
      </w:r>
      <w:r>
        <w:rPr>
          <w:rFonts w:hint="eastAsia" w:ascii="仿宋" w:hAnsi="仿宋" w:eastAsia="仿宋" w:cs="Times New Roman"/>
          <w:bCs/>
          <w:color w:val="000000" w:themeColor="text1"/>
          <w:sz w:val="32"/>
          <w:szCs w:val="32"/>
          <w14:textFill>
            <w14:solidFill>
              <w14:schemeClr w14:val="tx1"/>
            </w14:solidFill>
          </w14:textFill>
        </w:rPr>
        <w:t>元，经费来源由学校统筹考虑</w:t>
      </w:r>
      <w:r>
        <w:rPr>
          <w:rFonts w:hint="eastAsia" w:ascii="仿宋" w:hAnsi="仿宋" w:eastAsia="仿宋" w:cs="Times New Roman"/>
          <w:bCs/>
          <w:color w:val="000000" w:themeColor="text1"/>
          <w:sz w:val="32"/>
          <w:szCs w:val="32"/>
          <w:lang w:eastAsia="zh-CN"/>
          <w14:textFill>
            <w14:solidFill>
              <w14:schemeClr w14:val="tx1"/>
            </w14:solidFill>
          </w14:textFill>
        </w:rPr>
        <w:t>。</w:t>
      </w:r>
    </w:p>
    <w:p>
      <w:pPr>
        <w:pStyle w:val="7"/>
        <w:numPr>
          <w:ilvl w:val="0"/>
          <w:numId w:val="1"/>
        </w:numPr>
        <w:spacing w:line="360" w:lineRule="auto"/>
        <w:ind w:left="720" w:leftChars="0" w:hanging="720" w:firstLineChars="0"/>
        <w:outlineLvl w:val="0"/>
        <w:rPr>
          <w:rFonts w:hint="eastAsia" w:eastAsia="仿宋"/>
          <w:b/>
          <w:spacing w:val="0"/>
          <w:kern w:val="44"/>
          <w:sz w:val="32"/>
          <w:szCs w:val="44"/>
        </w:rPr>
      </w:pPr>
      <w:r>
        <w:rPr>
          <w:rFonts w:hint="eastAsia" w:eastAsia="仿宋"/>
          <w:b/>
          <w:spacing w:val="0"/>
          <w:kern w:val="44"/>
          <w:sz w:val="32"/>
          <w:szCs w:val="44"/>
        </w:rPr>
        <w:t>系统需求</w:t>
      </w:r>
      <w:bookmarkEnd w:id="1"/>
      <w:bookmarkEnd w:id="2"/>
    </w:p>
    <w:tbl>
      <w:tblP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374"/>
        <w:gridCol w:w="1230"/>
        <w:gridCol w:w="1375"/>
        <w:gridCol w:w="4543"/>
      </w:tblGrid>
      <w:tr>
        <w:trPr>
          <w:trHeight w:val="1040" w:hRule="atLeast"/>
        </w:trPr>
        <w:tc>
          <w:tcPr>
            <w:tcW w:w="798" w:type="pct"/>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b/>
                <w:bCs/>
                <w:i w:val="0"/>
                <w:iCs w:val="0"/>
                <w:color w:val="000000"/>
                <w:kern w:val="0"/>
                <w:sz w:val="22"/>
                <w:szCs w:val="22"/>
                <w:u w:val="none"/>
                <w:bdr w:val="none" w:color="auto" w:sz="0" w:space="0"/>
                <w:lang w:val="en-US" w:eastAsia="zh-CN" w:bidi="ar"/>
              </w:rPr>
            </w:pPr>
            <w:r>
              <w:rPr>
                <w:rFonts w:hint="eastAsia" w:ascii="微软雅黑" w:hAnsi="微软雅黑" w:eastAsia="微软雅黑" w:cs="微软雅黑"/>
                <w:b/>
                <w:bCs/>
                <w:i w:val="0"/>
                <w:iCs w:val="0"/>
                <w:color w:val="000000"/>
                <w:kern w:val="0"/>
                <w:sz w:val="22"/>
                <w:szCs w:val="22"/>
                <w:u w:val="none"/>
                <w:bdr w:val="none" w:color="auto" w:sz="0" w:space="0"/>
                <w:lang w:val="en-US" w:eastAsia="zh-CN" w:bidi="ar"/>
              </w:rPr>
              <w:t>功能模块</w:t>
            </w:r>
          </w:p>
        </w:tc>
        <w:tc>
          <w:tcPr>
            <w:tcW w:w="768" w:type="pct"/>
            <w:tcBorders>
              <w:top w:val="nil"/>
              <w:left w:val="nil"/>
              <w:bottom w:val="nil"/>
              <w:right w:val="nil"/>
            </w:tcBorders>
            <w:shd w:val="clear"/>
            <w:vAlign w:val="center"/>
          </w:tcPr>
          <w:p>
            <w:pPr>
              <w:jc w:val="center"/>
              <w:rPr>
                <w:rFonts w:hint="default" w:ascii="微软雅黑" w:hAnsi="微软雅黑" w:eastAsia="微软雅黑" w:cs="微软雅黑"/>
                <w:b/>
                <w:bCs/>
                <w:i w:val="0"/>
                <w:iCs w:val="0"/>
                <w:color w:val="000000"/>
                <w:sz w:val="22"/>
                <w:szCs w:val="22"/>
                <w:u w:val="none"/>
                <w:lang w:val="en-US" w:eastAsia="zh-CN"/>
              </w:rPr>
            </w:pPr>
            <w:r>
              <w:rPr>
                <w:rFonts w:hint="eastAsia" w:ascii="微软雅黑" w:hAnsi="微软雅黑" w:eastAsia="微软雅黑" w:cs="微软雅黑"/>
                <w:b/>
                <w:bCs/>
                <w:i w:val="0"/>
                <w:iCs w:val="0"/>
                <w:color w:val="000000"/>
                <w:sz w:val="22"/>
                <w:szCs w:val="22"/>
                <w:u w:val="none"/>
                <w:lang w:val="en-US" w:eastAsia="zh-CN"/>
              </w:rPr>
              <w:t>二级模块</w:t>
            </w:r>
          </w:p>
        </w:tc>
        <w:tc>
          <w:tcPr>
            <w:tcW w:w="798" w:type="pct"/>
            <w:tcBorders>
              <w:top w:val="nil"/>
              <w:left w:val="nil"/>
              <w:bottom w:val="nil"/>
              <w:right w:val="nil"/>
            </w:tcBorders>
            <w:shd w:val="clear"/>
            <w:vAlign w:val="center"/>
          </w:tcPr>
          <w:p>
            <w:pPr>
              <w:keepNext w:val="0"/>
              <w:keepLines w:val="0"/>
              <w:widowControl/>
              <w:suppressLineNumbers w:val="0"/>
              <w:jc w:val="center"/>
              <w:textAlignment w:val="center"/>
              <w:rPr>
                <w:rFonts w:hint="default" w:ascii="微软雅黑" w:hAnsi="微软雅黑" w:eastAsia="微软雅黑" w:cs="微软雅黑"/>
                <w:b/>
                <w:bCs/>
                <w:i w:val="0"/>
                <w:iCs w:val="0"/>
                <w:color w:val="000000"/>
                <w:kern w:val="0"/>
                <w:sz w:val="22"/>
                <w:szCs w:val="22"/>
                <w:u w:val="none"/>
                <w:bdr w:val="none" w:color="auto" w:sz="0" w:space="0"/>
                <w:lang w:val="en-US" w:eastAsia="zh-CN" w:bidi="ar"/>
              </w:rPr>
            </w:pPr>
            <w:r>
              <w:rPr>
                <w:rFonts w:hint="eastAsia" w:ascii="微软雅黑" w:hAnsi="微软雅黑" w:eastAsia="微软雅黑" w:cs="微软雅黑"/>
                <w:b/>
                <w:bCs/>
                <w:i w:val="0"/>
                <w:iCs w:val="0"/>
                <w:color w:val="000000"/>
                <w:kern w:val="0"/>
                <w:sz w:val="22"/>
                <w:szCs w:val="22"/>
                <w:u w:val="none"/>
                <w:bdr w:val="none" w:color="auto" w:sz="0" w:space="0"/>
                <w:lang w:val="en-US" w:eastAsia="zh-CN" w:bidi="ar"/>
              </w:rPr>
              <w:t>三级模块</w:t>
            </w:r>
          </w:p>
        </w:tc>
        <w:tc>
          <w:tcPr>
            <w:tcW w:w="2634" w:type="pct"/>
            <w:tcBorders>
              <w:top w:val="nil"/>
              <w:left w:val="nil"/>
              <w:bottom w:val="nil"/>
              <w:right w:val="nil"/>
            </w:tcBorders>
            <w:shd w:val="clear"/>
            <w:vAlign w:val="center"/>
          </w:tcPr>
          <w:p>
            <w:pPr>
              <w:keepNext w:val="0"/>
              <w:keepLines w:val="0"/>
              <w:widowControl/>
              <w:suppressLineNumbers w:val="0"/>
              <w:jc w:val="center"/>
              <w:textAlignment w:val="center"/>
              <w:rPr>
                <w:rFonts w:hint="default" w:ascii="微软雅黑" w:hAnsi="微软雅黑" w:eastAsia="微软雅黑" w:cs="微软雅黑"/>
                <w:b/>
                <w:bCs/>
                <w:i w:val="0"/>
                <w:iCs w:val="0"/>
                <w:color w:val="000000"/>
                <w:kern w:val="0"/>
                <w:sz w:val="22"/>
                <w:szCs w:val="22"/>
                <w:u w:val="none"/>
                <w:bdr w:val="none" w:color="auto" w:sz="0" w:space="0"/>
                <w:lang w:val="en-US" w:eastAsia="zh-CN" w:bidi="ar"/>
              </w:rPr>
            </w:pPr>
            <w:r>
              <w:rPr>
                <w:rFonts w:hint="eastAsia" w:ascii="微软雅黑" w:hAnsi="微软雅黑" w:eastAsia="微软雅黑" w:cs="微软雅黑"/>
                <w:b/>
                <w:bCs/>
                <w:i w:val="0"/>
                <w:iCs w:val="0"/>
                <w:color w:val="000000"/>
                <w:kern w:val="0"/>
                <w:sz w:val="22"/>
                <w:szCs w:val="22"/>
                <w:u w:val="none"/>
                <w:bdr w:val="none" w:color="auto" w:sz="0" w:space="0"/>
                <w:lang w:val="en-US" w:eastAsia="zh-CN" w:bidi="ar"/>
              </w:rPr>
              <w:t>功能模块描述</w:t>
            </w:r>
          </w:p>
        </w:tc>
      </w:tr>
      <w:tr>
        <w:trPr>
          <w:trHeight w:val="1040" w:hRule="atLeast"/>
        </w:trPr>
        <w:tc>
          <w:tcPr>
            <w:tcW w:w="798" w:type="pct"/>
            <w:tcBorders>
              <w:top w:val="nil"/>
              <w:left w:val="nil"/>
              <w:bottom w:val="nil"/>
              <w:right w:val="nil"/>
            </w:tcBorders>
            <w:shd w:val="clear"/>
            <w:noWrap/>
            <w:vAlign w:val="center"/>
          </w:tcPr>
          <w:p>
            <w:pPr>
              <w:keepNext w:val="0"/>
              <w:keepLines w:val="0"/>
              <w:widowControl/>
              <w:suppressLineNumbers w:val="0"/>
              <w:jc w:val="center"/>
              <w:textAlignment w:val="center"/>
              <w:rPr>
                <w:rFonts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bdr w:val="none" w:color="auto" w:sz="0" w:space="0"/>
                <w:lang w:val="en-US" w:eastAsia="zh-CN" w:bidi="ar"/>
              </w:rPr>
              <w:t>分数统计</w:t>
            </w:r>
          </w:p>
        </w:tc>
        <w:tc>
          <w:tcPr>
            <w:tcW w:w="768" w:type="pct"/>
            <w:tcBorders>
              <w:top w:val="nil"/>
              <w:left w:val="nil"/>
              <w:bottom w:val="nil"/>
              <w:right w:val="nil"/>
            </w:tcBorders>
            <w:shd w:val="clear"/>
            <w:vAlign w:val="center"/>
          </w:tcPr>
          <w:p>
            <w:pPr>
              <w:jc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分数统计</w:t>
            </w:r>
          </w:p>
        </w:tc>
        <w:tc>
          <w:tcPr>
            <w:tcW w:w="798" w:type="pct"/>
            <w:tcBorders>
              <w:top w:val="nil"/>
              <w:left w:val="nil"/>
              <w:bottom w:val="nil"/>
              <w:right w:val="nil"/>
            </w:tcBorders>
            <w:shd w:val="clear"/>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bdr w:val="none" w:color="auto" w:sz="0" w:space="0"/>
                <w:lang w:val="en-US" w:eastAsia="zh-CN" w:bidi="ar"/>
              </w:rPr>
              <w:t>分数统计</w:t>
            </w:r>
          </w:p>
        </w:tc>
        <w:tc>
          <w:tcPr>
            <w:tcW w:w="2634" w:type="pct"/>
            <w:tcBorders>
              <w:top w:val="nil"/>
              <w:left w:val="nil"/>
              <w:bottom w:val="nil"/>
              <w:right w:val="nil"/>
            </w:tcBorders>
            <w:shd w:val="clear"/>
            <w:vAlign w:val="center"/>
          </w:tcPr>
          <w:p>
            <w:pPr>
              <w:keepNext w:val="0"/>
              <w:keepLines w:val="0"/>
              <w:widowControl/>
              <w:suppressLineNumbers w:val="0"/>
              <w:jc w:val="left"/>
              <w:textAlignment w:val="top"/>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根据最新的绩效文件修改重新修改分数统计功能</w:t>
            </w:r>
          </w:p>
        </w:tc>
      </w:tr>
      <w:tr>
        <w:trPr>
          <w:trHeight w:val="340" w:hRule="atLeast"/>
        </w:trPr>
        <w:tc>
          <w:tcPr>
            <w:tcW w:w="798" w:type="pct"/>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学院绩效查看</w:t>
            </w:r>
          </w:p>
        </w:tc>
        <w:tc>
          <w:tcPr>
            <w:tcW w:w="768" w:type="pct"/>
            <w:tcBorders>
              <w:top w:val="nil"/>
              <w:left w:val="nil"/>
              <w:bottom w:val="nil"/>
              <w:right w:val="nil"/>
            </w:tcBorders>
            <w:shd w:val="clear"/>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学院绩效查看</w:t>
            </w:r>
          </w:p>
        </w:tc>
        <w:tc>
          <w:tcPr>
            <w:tcW w:w="798" w:type="pct"/>
            <w:tcBorders>
              <w:top w:val="nil"/>
              <w:left w:val="nil"/>
              <w:bottom w:val="nil"/>
              <w:right w:val="nil"/>
            </w:tcBorders>
            <w:shd w:val="clear"/>
            <w:vAlign w:val="top"/>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学院绩效查看</w:t>
            </w:r>
          </w:p>
        </w:tc>
        <w:tc>
          <w:tcPr>
            <w:tcW w:w="2634" w:type="pct"/>
            <w:tcBorders>
              <w:top w:val="nil"/>
              <w:left w:val="nil"/>
              <w:bottom w:val="nil"/>
              <w:right w:val="nil"/>
            </w:tcBorders>
            <w:shd w:val="clear"/>
            <w:vAlign w:val="center"/>
          </w:tcPr>
          <w:p>
            <w:pPr>
              <w:keepNext w:val="0"/>
              <w:keepLines w:val="0"/>
              <w:widowControl/>
              <w:suppressLineNumbers w:val="0"/>
              <w:jc w:val="left"/>
              <w:textAlignment w:val="top"/>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根据最新的绩效文件修改学院秘书查看学院绩效功能</w:t>
            </w:r>
          </w:p>
        </w:tc>
      </w:tr>
      <w:tr>
        <w:trPr>
          <w:trHeight w:val="340" w:hRule="atLeast"/>
        </w:trPr>
        <w:tc>
          <w:tcPr>
            <w:tcW w:w="798" w:type="pct"/>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个人绩效查看</w:t>
            </w:r>
          </w:p>
        </w:tc>
        <w:tc>
          <w:tcPr>
            <w:tcW w:w="768" w:type="pct"/>
            <w:tcBorders>
              <w:top w:val="nil"/>
              <w:left w:val="nil"/>
              <w:bottom w:val="nil"/>
              <w:right w:val="nil"/>
            </w:tcBorders>
            <w:shd w:val="clear"/>
            <w:vAlign w:val="top"/>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个人绩效查看</w:t>
            </w:r>
          </w:p>
        </w:tc>
        <w:tc>
          <w:tcPr>
            <w:tcW w:w="798" w:type="pct"/>
            <w:tcBorders>
              <w:top w:val="nil"/>
              <w:left w:val="nil"/>
              <w:bottom w:val="nil"/>
              <w:right w:val="nil"/>
            </w:tcBorders>
            <w:shd w:val="clear"/>
            <w:vAlign w:val="top"/>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个人绩效查看</w:t>
            </w:r>
          </w:p>
        </w:tc>
        <w:tc>
          <w:tcPr>
            <w:tcW w:w="2634" w:type="pct"/>
            <w:tcBorders>
              <w:top w:val="nil"/>
              <w:left w:val="nil"/>
              <w:bottom w:val="nil"/>
              <w:right w:val="nil"/>
            </w:tcBorders>
            <w:shd w:val="clear"/>
            <w:vAlign w:val="center"/>
          </w:tcPr>
          <w:p>
            <w:pPr>
              <w:keepNext w:val="0"/>
              <w:keepLines w:val="0"/>
              <w:widowControl/>
              <w:suppressLineNumbers w:val="0"/>
              <w:jc w:val="left"/>
              <w:textAlignment w:val="top"/>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根据最新的绩效文件修改查看功能</w:t>
            </w:r>
          </w:p>
        </w:tc>
      </w:tr>
      <w:tr>
        <w:trPr>
          <w:trHeight w:val="2020" w:hRule="atLeast"/>
        </w:trPr>
        <w:tc>
          <w:tcPr>
            <w:tcW w:w="798" w:type="pct"/>
            <w:vMerge w:val="restart"/>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二级学院改革绩效</w:t>
            </w:r>
          </w:p>
        </w:tc>
        <w:tc>
          <w:tcPr>
            <w:tcW w:w="768" w:type="pct"/>
            <w:vMerge w:val="restart"/>
            <w:tcBorders>
              <w:top w:val="nil"/>
              <w:left w:val="nil"/>
              <w:bottom w:val="nil"/>
              <w:right w:val="nil"/>
            </w:tcBorders>
            <w:shd w:val="clear"/>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党建</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工作</w:t>
            </w:r>
          </w:p>
        </w:tc>
        <w:tc>
          <w:tcPr>
            <w:tcW w:w="798" w:type="pct"/>
            <w:tcBorders>
              <w:top w:val="nil"/>
              <w:left w:val="nil"/>
              <w:bottom w:val="nil"/>
              <w:right w:val="nil"/>
            </w:tcBorders>
            <w:shd w:val="clear"/>
            <w:vAlign w:val="top"/>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政治建设</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思想建设</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组织建设</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意识形态工作</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制度建设</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作风建设</w:t>
            </w:r>
          </w:p>
        </w:tc>
        <w:tc>
          <w:tcPr>
            <w:tcW w:w="2634" w:type="pct"/>
            <w:tcBorders>
              <w:top w:val="nil"/>
              <w:left w:val="nil"/>
              <w:bottom w:val="nil"/>
              <w:right w:val="nil"/>
            </w:tcBorders>
            <w:shd w:val="clear"/>
            <w:vAlign w:val="center"/>
          </w:tcPr>
          <w:p>
            <w:pPr>
              <w:keepNext w:val="0"/>
              <w:keepLines w:val="0"/>
              <w:widowControl/>
              <w:suppressLineNumbers w:val="0"/>
              <w:jc w:val="left"/>
              <w:textAlignment w:val="top"/>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政治建设、思想建设、组织建设、意识形态工作、制度建设、作风建设由由组织宣传统战部牵头考核。党建工作成效主要由党组织或党员在党建研究与工作项目、发表论文、获得荣誉表彰、案例征文党课奖项等方面根据国家、省、市、校不同级别获得相应积分，范围从0.5分到5分不等。在指定媒体发表党建经验信息稿或会议上发言的可加分。由组织宣传统战部负责在二级学院执行党建考核，考核依据单位当年实际党建工作情况进行。</w:t>
            </w:r>
          </w:p>
        </w:tc>
      </w:tr>
      <w:tr>
        <w:trPr>
          <w:trHeight w:val="340" w:hRule="atLeast"/>
        </w:trPr>
        <w:tc>
          <w:tcPr>
            <w:tcW w:w="79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68" w:type="pct"/>
            <w:vMerge w:val="continue"/>
            <w:tcBorders>
              <w:top w:val="nil"/>
              <w:left w:val="nil"/>
              <w:bottom w:val="nil"/>
              <w:right w:val="nil"/>
            </w:tcBorders>
            <w:shd w:val="clear"/>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98" w:type="pct"/>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党建带团建</w:t>
            </w:r>
          </w:p>
        </w:tc>
        <w:tc>
          <w:tcPr>
            <w:tcW w:w="2634" w:type="pct"/>
            <w:tcBorders>
              <w:top w:val="nil"/>
              <w:left w:val="nil"/>
              <w:bottom w:val="nil"/>
              <w:right w:val="nil"/>
            </w:tcBorders>
            <w:shd w:val="clear"/>
            <w:vAlign w:val="center"/>
          </w:tcPr>
          <w:p>
            <w:pPr>
              <w:keepNext w:val="0"/>
              <w:keepLines w:val="0"/>
              <w:widowControl/>
              <w:suppressLineNumbers w:val="0"/>
              <w:jc w:val="left"/>
              <w:textAlignment w:val="top"/>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二级学院党建带团建考核结果由校团委牵头考核，组织宣传统战部复核。</w:t>
            </w:r>
          </w:p>
        </w:tc>
      </w:tr>
      <w:tr>
        <w:trPr>
          <w:trHeight w:val="340" w:hRule="atLeast"/>
        </w:trPr>
        <w:tc>
          <w:tcPr>
            <w:tcW w:w="79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68" w:type="pct"/>
            <w:vMerge w:val="restart"/>
            <w:tcBorders>
              <w:top w:val="nil"/>
              <w:left w:val="nil"/>
              <w:bottom w:val="nil"/>
              <w:right w:val="nil"/>
            </w:tcBorders>
            <w:shd w:val="clear"/>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基本教学工作</w:t>
            </w:r>
          </w:p>
        </w:tc>
        <w:tc>
          <w:tcPr>
            <w:tcW w:w="798" w:type="pct"/>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教学质量</w:t>
            </w:r>
          </w:p>
        </w:tc>
        <w:tc>
          <w:tcPr>
            <w:tcW w:w="2634" w:type="pct"/>
            <w:tcBorders>
              <w:top w:val="nil"/>
              <w:left w:val="nil"/>
              <w:bottom w:val="nil"/>
              <w:right w:val="nil"/>
            </w:tcBorders>
            <w:shd w:val="clear"/>
            <w:vAlign w:val="center"/>
          </w:tcPr>
          <w:p>
            <w:pPr>
              <w:keepNext w:val="0"/>
              <w:keepLines w:val="0"/>
              <w:widowControl/>
              <w:suppressLineNumbers w:val="0"/>
              <w:jc w:val="left"/>
              <w:textAlignment w:val="top"/>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修改评教的主体和扣分机制</w:t>
            </w:r>
          </w:p>
        </w:tc>
      </w:tr>
      <w:tr>
        <w:trPr>
          <w:trHeight w:val="1360" w:hRule="atLeast"/>
        </w:trPr>
        <w:tc>
          <w:tcPr>
            <w:tcW w:w="79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68" w:type="pct"/>
            <w:vMerge w:val="continue"/>
            <w:tcBorders>
              <w:top w:val="nil"/>
              <w:left w:val="nil"/>
              <w:bottom w:val="nil"/>
              <w:right w:val="nil"/>
            </w:tcBorders>
            <w:shd w:val="clear"/>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98" w:type="pct"/>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教学成效</w:t>
            </w:r>
          </w:p>
        </w:tc>
        <w:tc>
          <w:tcPr>
            <w:tcW w:w="2634" w:type="pct"/>
            <w:tcBorders>
              <w:top w:val="nil"/>
              <w:left w:val="nil"/>
              <w:bottom w:val="nil"/>
              <w:right w:val="nil"/>
            </w:tcBorders>
            <w:shd w:val="clear"/>
            <w:vAlign w:val="top"/>
          </w:tcPr>
          <w:p>
            <w:pPr>
              <w:keepNext w:val="0"/>
              <w:keepLines w:val="0"/>
              <w:widowControl/>
              <w:suppressLineNumbers w:val="0"/>
              <w:jc w:val="left"/>
              <w:textAlignment w:val="top"/>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新增加了对不同竞赛级别和类型的详细分值规定，包括专业技能竞赛、"互联网+"大赛、"挑战杯"系列竞赛、以及其他政府主办的创新创业竞赛的校级到国家级以及世界级别的详尽得分。此外，还规定了参加综合素质类竞赛的分值，以及跨学院组队参赛的分值分配机制。还有专业报考率的得分规定，其中主要差异是第四名起的得分从7分增加到均为7分，并且排名认定由招生办公室处理。</w:t>
            </w:r>
          </w:p>
        </w:tc>
      </w:tr>
      <w:tr>
        <w:trPr>
          <w:trHeight w:val="1360" w:hRule="atLeast"/>
        </w:trPr>
        <w:tc>
          <w:tcPr>
            <w:tcW w:w="79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68" w:type="pct"/>
            <w:vMerge w:val="restart"/>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教学基本建设工作</w:t>
            </w:r>
          </w:p>
        </w:tc>
        <w:tc>
          <w:tcPr>
            <w:tcW w:w="798" w:type="pct"/>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课程建设</w:t>
            </w:r>
          </w:p>
        </w:tc>
        <w:tc>
          <w:tcPr>
            <w:tcW w:w="2634" w:type="pct"/>
            <w:tcBorders>
              <w:top w:val="nil"/>
              <w:left w:val="nil"/>
              <w:bottom w:val="nil"/>
              <w:right w:val="nil"/>
            </w:tcBorders>
            <w:shd w:val="clear"/>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教师完成验收的课程建设及获评案例的分数设置更加全面和详细，涵盖了精品类课程（包括资源共享课、在线开放课程和金课）、课堂革命典型案例以及课程思政方面的评分规则。同时，指出了因未持续建设导致追责的扣分情况。另外，也指定了不同项目的主管部门，如教务部和马克思主义学院的牵头考核。</w:t>
            </w:r>
          </w:p>
        </w:tc>
      </w:tr>
      <w:tr>
        <w:trPr>
          <w:trHeight w:val="680" w:hRule="atLeast"/>
        </w:trPr>
        <w:tc>
          <w:tcPr>
            <w:tcW w:w="79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6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98" w:type="pct"/>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专业教学资源库</w:t>
            </w:r>
          </w:p>
        </w:tc>
        <w:tc>
          <w:tcPr>
            <w:tcW w:w="2634" w:type="pct"/>
            <w:tcBorders>
              <w:top w:val="nil"/>
              <w:left w:val="nil"/>
              <w:bottom w:val="nil"/>
              <w:right w:val="nil"/>
            </w:tcBorders>
            <w:shd w:val="clear"/>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完成验收的专业教学资源库建设项目的分值显著增加。此外，最新也详细描述了未持续建设项目的扣分规则。</w:t>
            </w:r>
          </w:p>
        </w:tc>
      </w:tr>
      <w:tr>
        <w:trPr>
          <w:trHeight w:val="1360" w:hRule="atLeast"/>
        </w:trPr>
        <w:tc>
          <w:tcPr>
            <w:tcW w:w="79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6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98" w:type="pct"/>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教材建设</w:t>
            </w:r>
          </w:p>
        </w:tc>
        <w:tc>
          <w:tcPr>
            <w:tcW w:w="2634" w:type="pct"/>
            <w:tcBorders>
              <w:top w:val="nil"/>
              <w:left w:val="nil"/>
              <w:bottom w:val="nil"/>
              <w:right w:val="nil"/>
            </w:tcBorders>
            <w:shd w:val="clear"/>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增加内容包括详细的分值区分和扣分规则。新增内容明确区分了国家级规划教材和省级规划教材，以及获奖教材的计分，分别为25分和15分，而其他教材计5分，比统一的计分（5分/部）要复杂和具体。此外，新增还提出了对未按期通过验收的教材建设项目的扣分规定，根据不同级别分别扣除相应分数。新增也指出这些规则由教务部牵头考核，而不仅仅是教务处认定</w:t>
            </w:r>
          </w:p>
        </w:tc>
      </w:tr>
      <w:tr>
        <w:trPr>
          <w:trHeight w:val="2020" w:hRule="atLeast"/>
        </w:trPr>
        <w:tc>
          <w:tcPr>
            <w:tcW w:w="79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6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98" w:type="pct"/>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实训基地建设</w:t>
            </w:r>
          </w:p>
        </w:tc>
        <w:tc>
          <w:tcPr>
            <w:tcW w:w="2634" w:type="pct"/>
            <w:tcBorders>
              <w:top w:val="nil"/>
              <w:left w:val="nil"/>
              <w:bottom w:val="nil"/>
              <w:right w:val="nil"/>
            </w:tcBorders>
            <w:shd w:val="clear"/>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主要增加内容涉及额外的认证级别和分值规则，以及不同部门的考核责任。具体而言，新增了地市级实训基地建设项目的认定，为其计15分/个，此外，新增也提及了多个科研与社会服务平台的建设项目，并指出由不同的部门负责考核，如科学技术部和创新创业学院。新增还明确了行业企业投资的校内实践教学设备的价值认可方式和分值计算方法（每10万计2分），并指出这部分由财务部（资产科）牵头考核，最后，新增还特别提到了技能竞赛金牌教练工作室项目，并明确了其分值（10分/个）和考核部门（实训中心及相关管理部门）。</w:t>
            </w:r>
          </w:p>
        </w:tc>
      </w:tr>
      <w:tr>
        <w:trPr>
          <w:trHeight w:val="3360" w:hRule="atLeast"/>
        </w:trPr>
        <w:tc>
          <w:tcPr>
            <w:tcW w:w="79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6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98" w:type="pct"/>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教学团队建设</w:t>
            </w:r>
          </w:p>
        </w:tc>
        <w:tc>
          <w:tcPr>
            <w:tcW w:w="2634" w:type="pct"/>
            <w:tcBorders>
              <w:top w:val="nil"/>
              <w:left w:val="nil"/>
              <w:bottom w:val="nil"/>
              <w:right w:val="nil"/>
            </w:tcBorders>
            <w:shd w:val="clear"/>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新增提供了更全面和细致的分值规定对于各种奖项和职称。它详细列出了：</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 优秀教学团队、技能大师工作室、双师型教师培养培训基地的校、省、国家级计分标准，并规定了若同一团队获得不同级别奖励的处理方式（取最高分值计算）。</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 示范性教师企业实践流动站的校、省、国家级计分标准。</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 教师个人获得教学名师等荣誉称号的校、市、省、国家级计分标准。</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 通过全职、兼职、候鸟式、联合公共引才方式引进不同类别人才的详细计分标准。</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 教师（团队）在教学竞赛中获奖的各级别分值，以及对同一团队获不同级别奖励的处理规定（取最高分数项目计算，不重复计分）。</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 教师个人在全国优秀教材评选中获奖的计分标准，以及获得全国教材建设先进个人和集体的分值。</w:t>
            </w:r>
          </w:p>
        </w:tc>
      </w:tr>
      <w:tr>
        <w:trPr>
          <w:trHeight w:val="2020" w:hRule="atLeast"/>
        </w:trPr>
        <w:tc>
          <w:tcPr>
            <w:tcW w:w="79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68" w:type="pct"/>
            <w:vMerge w:val="restart"/>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教学综合改革与创新</w:t>
            </w:r>
          </w:p>
        </w:tc>
        <w:tc>
          <w:tcPr>
            <w:tcW w:w="798" w:type="pct"/>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双高计划”及创新强校工程项目建设</w:t>
            </w:r>
          </w:p>
        </w:tc>
        <w:tc>
          <w:tcPr>
            <w:tcW w:w="2634" w:type="pct"/>
            <w:tcBorders>
              <w:top w:val="nil"/>
              <w:left w:val="nil"/>
              <w:bottom w:val="nil"/>
              <w:right w:val="nil"/>
            </w:tcBorders>
            <w:shd w:val="clear"/>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相比旧有内容增加了以下内容：</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 xml:space="preserve"> 1.对于国家级高水平专业群建设任务，明确了承担后的积分（50分/项），以及期满验收结论为暂缓通过或未通过时的扣分规则（分别扣除25分/项和50分/项）。</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 对于省级和校级高水平专业群建设任务，引入了完成率作为计分的变量，计分变为根据任务要点完成率的乘积（省级30分乘以完成率，校级10分乘以完成率）。</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 增加了中期检查或终期验收不合格时的扣分规定（省级扣30分/项，校级扣10分/项）。</w:t>
            </w:r>
          </w:p>
        </w:tc>
      </w:tr>
      <w:tr>
        <w:trPr>
          <w:trHeight w:val="340" w:hRule="atLeast"/>
        </w:trPr>
        <w:tc>
          <w:tcPr>
            <w:tcW w:w="79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6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98" w:type="pct"/>
            <w:tcBorders>
              <w:top w:val="nil"/>
              <w:left w:val="nil"/>
              <w:bottom w:val="nil"/>
              <w:right w:val="nil"/>
            </w:tcBorders>
            <w:shd w:val="clear"/>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产业学院建设</w:t>
            </w:r>
          </w:p>
        </w:tc>
        <w:tc>
          <w:tcPr>
            <w:tcW w:w="2634" w:type="pct"/>
            <w:tcBorders>
              <w:top w:val="nil"/>
              <w:left w:val="nil"/>
              <w:bottom w:val="nil"/>
              <w:right w:val="nil"/>
            </w:tcBorders>
            <w:shd w:val="clear"/>
            <w:noWrap/>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新规提供了更详细的评分机制和可能的扣分情况，具体不同之处包括：</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 成立产业学院的计分规则不同：新规提到根据成立产业学院的级别（校、地市、省、国家级）分别计分（30、40、50、60分）</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2.额外计分项：新规介绍了通过与产业学院合作进行技术服务、人才培养、提供设备等额外加分项，以及国家级标志性成果的额外计分，</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 扣分规定：新增明确了产业学院协议期满未完成建设任务的扣分情况，而旧有并未提及任何扣分机制。</w:t>
            </w:r>
          </w:p>
        </w:tc>
      </w:tr>
      <w:tr>
        <w:trPr>
          <w:trHeight w:val="2700" w:hRule="atLeast"/>
        </w:trPr>
        <w:tc>
          <w:tcPr>
            <w:tcW w:w="79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6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98" w:type="pct"/>
            <w:tcBorders>
              <w:top w:val="nil"/>
              <w:left w:val="nil"/>
              <w:bottom w:val="nil"/>
              <w:right w:val="nil"/>
            </w:tcBorders>
            <w:shd w:val="clear"/>
            <w:vAlign w:val="top"/>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项目班、1+X、现代学徒制等建设</w:t>
            </w:r>
          </w:p>
        </w:tc>
        <w:tc>
          <w:tcPr>
            <w:tcW w:w="2634" w:type="pct"/>
            <w:tcBorders>
              <w:top w:val="nil"/>
              <w:left w:val="nil"/>
              <w:bottom w:val="nil"/>
              <w:right w:val="nil"/>
            </w:tcBorders>
            <w:shd w:val="clear"/>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Style w:val="14"/>
                <w:bdr w:val="none" w:color="auto" w:sz="0" w:space="0"/>
                <w:lang w:val="en-US" w:eastAsia="zh-CN" w:bidi="ar"/>
              </w:rPr>
              <w:t>增加了更多的细节和具体的评分标准：</w:t>
            </w:r>
            <w:r>
              <w:rPr>
                <w:rStyle w:val="14"/>
                <w:bdr w:val="none" w:color="auto" w:sz="0" w:space="0"/>
                <w:lang w:val="en-US" w:eastAsia="zh-CN" w:bidi="ar"/>
              </w:rPr>
              <w:br w:type="textWrapping"/>
            </w:r>
            <w:r>
              <w:rPr>
                <w:rStyle w:val="14"/>
                <w:bdr w:val="none" w:color="auto" w:sz="0" w:space="0"/>
                <w:lang w:val="en-US" w:eastAsia="zh-CN" w:bidi="ar"/>
              </w:rPr>
              <w:t>1. 参与人数的详细计分：在开办订单班、项目班的情况下，新规详细说明了根据参与人数的具体方式</w:t>
            </w:r>
            <w:r>
              <w:rPr>
                <w:rStyle w:val="15"/>
                <w:bdr w:val="none" w:color="auto" w:sz="0" w:space="0"/>
                <w:lang w:val="en-US" w:eastAsia="zh-CN" w:bidi="ar"/>
              </w:rPr>
              <w:t>超过10人计分：10分/企业；10人以下计分：1分/人</w:t>
            </w:r>
            <w:r>
              <w:rPr>
                <w:rStyle w:val="14"/>
                <w:bdr w:val="none" w:color="auto" w:sz="0" w:space="0"/>
                <w:lang w:val="en-US" w:eastAsia="zh-CN" w:bidi="ar"/>
              </w:rPr>
              <w:br w:type="textWrapping"/>
            </w:r>
            <w:r>
              <w:rPr>
                <w:rStyle w:val="14"/>
                <w:bdr w:val="none" w:color="auto" w:sz="0" w:space="0"/>
                <w:lang w:val="en-US" w:eastAsia="zh-CN" w:bidi="ar"/>
              </w:rPr>
              <w:t>3. 1+X证书制度计分：新规介绍了实施1+X证书制度的学院按证书等级不同计分的细节，以及不同等级可以重复计分的规则。</w:t>
            </w:r>
            <w:r>
              <w:rPr>
                <w:rStyle w:val="14"/>
                <w:bdr w:val="none" w:color="auto" w:sz="0" w:space="0"/>
                <w:lang w:val="en-US" w:eastAsia="zh-CN" w:bidi="ar"/>
              </w:rPr>
              <w:br w:type="textWrapping"/>
            </w:r>
            <w:r>
              <w:rPr>
                <w:rStyle w:val="14"/>
                <w:bdr w:val="none" w:color="auto" w:sz="0" w:space="0"/>
                <w:lang w:val="en-US" w:eastAsia="zh-CN" w:bidi="ar"/>
              </w:rPr>
              <w:t>4. 现代学徒制的具体计分方式：新规详细阐述了现代学徒制试点的计分方法，包括基准分和不同的系数调整，依据专业人数而变化。</w:t>
            </w:r>
            <w:r>
              <w:rPr>
                <w:rStyle w:val="14"/>
                <w:bdr w:val="none" w:color="auto" w:sz="0" w:space="0"/>
                <w:lang w:val="en-US" w:eastAsia="zh-CN" w:bidi="ar"/>
              </w:rPr>
              <w:br w:type="textWrapping"/>
            </w:r>
            <w:r>
              <w:rPr>
                <w:rStyle w:val="14"/>
                <w:bdr w:val="none" w:color="auto" w:sz="0" w:space="0"/>
                <w:lang w:val="en-US" w:eastAsia="zh-CN" w:bidi="ar"/>
              </w:rPr>
              <w:t>5. 技能竞赛特色班项目的验收计分：新规中指出完成验收的技能竞赛特色班项目会计10分/个</w:t>
            </w:r>
          </w:p>
        </w:tc>
      </w:tr>
      <w:tr>
        <w:trPr>
          <w:trHeight w:val="680" w:hRule="atLeast"/>
        </w:trPr>
        <w:tc>
          <w:tcPr>
            <w:tcW w:w="79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6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98" w:type="pct"/>
            <w:tcBorders>
              <w:top w:val="nil"/>
              <w:left w:val="nil"/>
              <w:bottom w:val="nil"/>
              <w:right w:val="nil"/>
            </w:tcBorders>
            <w:shd w:val="clear"/>
            <w:vAlign w:val="top"/>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双创人才培养自主创业</w:t>
            </w:r>
          </w:p>
        </w:tc>
        <w:tc>
          <w:tcPr>
            <w:tcW w:w="2634" w:type="pct"/>
            <w:tcBorders>
              <w:top w:val="nil"/>
              <w:left w:val="nil"/>
              <w:bottom w:val="nil"/>
              <w:right w:val="nil"/>
            </w:tcBorders>
            <w:shd w:val="clear"/>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应届毕业生自主创业率，全校排名第一计100分，排名从高到低依次递减5分。应届毕业生自主创业率低于2%的不赋分。由创新创业学院牵头考核。</w:t>
            </w:r>
          </w:p>
        </w:tc>
      </w:tr>
      <w:tr>
        <w:trPr>
          <w:trHeight w:val="4040" w:hRule="atLeast"/>
        </w:trPr>
        <w:tc>
          <w:tcPr>
            <w:tcW w:w="79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68" w:type="pct"/>
            <w:vMerge w:val="restart"/>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科研及教改项目</w:t>
            </w:r>
          </w:p>
        </w:tc>
        <w:tc>
          <w:tcPr>
            <w:tcW w:w="798" w:type="pct"/>
            <w:tcBorders>
              <w:top w:val="nil"/>
              <w:left w:val="nil"/>
              <w:bottom w:val="nil"/>
              <w:right w:val="nil"/>
            </w:tcBorders>
            <w:shd w:val="clear"/>
            <w:vAlign w:val="top"/>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纵向科研及</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教改项目</w:t>
            </w:r>
          </w:p>
        </w:tc>
        <w:tc>
          <w:tcPr>
            <w:tcW w:w="2634" w:type="pct"/>
            <w:tcBorders>
              <w:top w:val="nil"/>
              <w:left w:val="nil"/>
              <w:bottom w:val="nil"/>
              <w:right w:val="nil"/>
            </w:tcBorders>
            <w:shd w:val="clear"/>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新规主要的修改之处在于对项目验收结果的具体计分减分规定，以及明确了不同类型项目的考核部门。具体的修改如下：</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 考核部门的明确化：新规具体指出了科研项目由科学技术部考核，教改项目由教务部考核，以及课程思政教育教学改革项目由马克思主义学院考核。</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 纵向科研项目未按期通过验收的扣分：新规中提到了校级、地市级、省级、国家级纵向科研项目如果未按期通过验收的具体扣分数。</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 纵向教改项目验收扣分：新规详细说明了暂缓通过和不通过或撤项的纵向教改项目在不同级别的扣分情况。</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 校级纵向教改项目验收后计分：新规话中有校级纵向教改项目验收后的计分规定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 博士科研创新团队专项的特殊提及：新规中有对校级博士科研创新团队专项的具体分数提及，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 校级课程思政教育教学改革项目的考核，新规包含了对完成验收的校级课程思政教育教学改革项目的计分，</w:t>
            </w:r>
          </w:p>
        </w:tc>
      </w:tr>
      <w:tr>
        <w:trPr>
          <w:trHeight w:val="2360" w:hRule="atLeast"/>
        </w:trPr>
        <w:tc>
          <w:tcPr>
            <w:tcW w:w="79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6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98" w:type="pct"/>
            <w:tcBorders>
              <w:top w:val="nil"/>
              <w:left w:val="nil"/>
              <w:bottom w:val="nil"/>
              <w:right w:val="nil"/>
            </w:tcBorders>
            <w:shd w:val="clear"/>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横向技术服务及技术培训项目()</w:t>
            </w:r>
          </w:p>
        </w:tc>
        <w:tc>
          <w:tcPr>
            <w:tcW w:w="2634" w:type="pct"/>
            <w:tcBorders>
              <w:top w:val="nil"/>
              <w:left w:val="nil"/>
              <w:bottom w:val="nil"/>
              <w:right w:val="nil"/>
            </w:tcBorders>
            <w:shd w:val="clear"/>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新增有以下几个主要修改之处：</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 计分标准的调整：新规横向技术服务及技术培训项目完成并通过验收的得分是2分/项，若有经济效益证明则增加2分/项。</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 经济效益证明的考核去除：新规提到了由项目受益方出具的经济效益证明可以增加计分，</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 非学历培训人次的得分：新规提及了非学历培训项目的得分，即当年度培训规模每100人次计1分的规定，在旧规没有这项内容。</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 考核部门：新规明确了由科学技术部牵头考核，而旧规指定了由科技与校企合作处认定。</w:t>
            </w:r>
          </w:p>
        </w:tc>
      </w:tr>
      <w:tr>
        <w:trPr>
          <w:trHeight w:val="1360" w:hRule="atLeast"/>
        </w:trPr>
        <w:tc>
          <w:tcPr>
            <w:tcW w:w="79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6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98" w:type="pct"/>
            <w:tcBorders>
              <w:top w:val="nil"/>
              <w:left w:val="nil"/>
              <w:bottom w:val="nil"/>
              <w:right w:val="nil"/>
            </w:tcBorders>
            <w:shd w:val="clear"/>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教师科研、教学成果获奖</w:t>
            </w:r>
          </w:p>
        </w:tc>
        <w:tc>
          <w:tcPr>
            <w:tcW w:w="2634" w:type="pct"/>
            <w:tcBorders>
              <w:top w:val="nil"/>
              <w:left w:val="nil"/>
              <w:bottom w:val="nil"/>
              <w:right w:val="nil"/>
            </w:tcBorders>
            <w:shd w:val="clear"/>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新规对于教师获得的科技成果、教学成果奖励的得分有详细的分级，包括不同等级的一等奖、二等奖以及三等奖及以下，并且为每一等级和类别分配了不同的分数。例如，校级一等奖是5分/项，二等奖及以下是2分/项；国家级一等奖及以上是20分/项，二等奖是15分，三等奖及以下是10分。</w:t>
            </w:r>
          </w:p>
        </w:tc>
      </w:tr>
      <w:tr>
        <w:trPr>
          <w:trHeight w:val="360" w:hRule="atLeast"/>
        </w:trPr>
        <w:tc>
          <w:tcPr>
            <w:tcW w:w="79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68" w:type="pct"/>
            <w:vMerge w:val="restart"/>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知识产权及技术转让</w:t>
            </w:r>
          </w:p>
        </w:tc>
        <w:tc>
          <w:tcPr>
            <w:tcW w:w="798" w:type="pct"/>
            <w:tcBorders>
              <w:top w:val="nil"/>
              <w:left w:val="nil"/>
              <w:bottom w:val="nil"/>
              <w:right w:val="nil"/>
            </w:tcBorders>
            <w:shd w:val="clear"/>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知识产权</w:t>
            </w:r>
          </w:p>
        </w:tc>
        <w:tc>
          <w:tcPr>
            <w:tcW w:w="2634" w:type="pct"/>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新增集成电路</w:t>
            </w:r>
            <w:bookmarkStart w:id="3" w:name="_GoBack"/>
            <w:bookmarkEnd w:id="3"/>
            <w:r>
              <w:rPr>
                <w:rFonts w:hint="eastAsia" w:ascii="宋体" w:hAnsi="宋体" w:eastAsia="宋体" w:cs="宋体"/>
                <w:i w:val="0"/>
                <w:iCs w:val="0"/>
                <w:color w:val="000000"/>
                <w:kern w:val="0"/>
                <w:sz w:val="22"/>
                <w:szCs w:val="22"/>
                <w:u w:val="none"/>
                <w:lang w:val="en-US" w:eastAsia="zh-CN" w:bidi="ar"/>
              </w:rPr>
              <w:t>和作品登记选项</w:t>
            </w:r>
          </w:p>
        </w:tc>
      </w:tr>
      <w:tr>
        <w:trPr>
          <w:trHeight w:val="340" w:hRule="atLeast"/>
        </w:trPr>
        <w:tc>
          <w:tcPr>
            <w:tcW w:w="79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6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98" w:type="pct"/>
            <w:tcBorders>
              <w:top w:val="nil"/>
              <w:left w:val="nil"/>
              <w:bottom w:val="nil"/>
              <w:right w:val="nil"/>
            </w:tcBorders>
            <w:shd w:val="clear"/>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技术转让</w:t>
            </w:r>
          </w:p>
        </w:tc>
        <w:tc>
          <w:tcPr>
            <w:tcW w:w="2634" w:type="pct"/>
            <w:tcBorders>
              <w:top w:val="nil"/>
              <w:left w:val="nil"/>
              <w:bottom w:val="nil"/>
              <w:right w:val="nil"/>
            </w:tcBorders>
            <w:shd w:val="clear"/>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内容无变化</w:t>
            </w:r>
          </w:p>
        </w:tc>
      </w:tr>
      <w:tr>
        <w:trPr>
          <w:trHeight w:val="340" w:hRule="atLeast"/>
        </w:trPr>
        <w:tc>
          <w:tcPr>
            <w:tcW w:w="79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68" w:type="pct"/>
            <w:vMerge w:val="restart"/>
            <w:tcBorders>
              <w:top w:val="nil"/>
              <w:left w:val="nil"/>
              <w:bottom w:val="nil"/>
              <w:right w:val="nil"/>
            </w:tcBorders>
            <w:shd w:val="clear"/>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论文、</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著作</w:t>
            </w:r>
          </w:p>
        </w:tc>
        <w:tc>
          <w:tcPr>
            <w:tcW w:w="798" w:type="pct"/>
            <w:tcBorders>
              <w:top w:val="nil"/>
              <w:left w:val="nil"/>
              <w:bottom w:val="nil"/>
              <w:right w:val="nil"/>
            </w:tcBorders>
            <w:shd w:val="clear"/>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发表论文</w:t>
            </w:r>
          </w:p>
        </w:tc>
        <w:tc>
          <w:tcPr>
            <w:tcW w:w="2634" w:type="pct"/>
            <w:tcBorders>
              <w:top w:val="nil"/>
              <w:left w:val="nil"/>
              <w:bottom w:val="nil"/>
              <w:right w:val="nil"/>
            </w:tcBorders>
            <w:shd w:val="clear"/>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发表高水平学术论文的得分规则，区分了A类和B类两个级别，分别给予不同的分数。</w:t>
            </w:r>
          </w:p>
        </w:tc>
      </w:tr>
      <w:tr>
        <w:trPr>
          <w:trHeight w:val="340" w:hRule="atLeast"/>
        </w:trPr>
        <w:tc>
          <w:tcPr>
            <w:tcW w:w="79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68" w:type="pct"/>
            <w:vMerge w:val="continue"/>
            <w:tcBorders>
              <w:top w:val="nil"/>
              <w:left w:val="nil"/>
              <w:bottom w:val="nil"/>
              <w:right w:val="nil"/>
            </w:tcBorders>
            <w:shd w:val="clear"/>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98" w:type="pct"/>
            <w:tcBorders>
              <w:top w:val="nil"/>
              <w:left w:val="nil"/>
              <w:bottom w:val="nil"/>
              <w:right w:val="nil"/>
            </w:tcBorders>
            <w:shd w:val="clear"/>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学术著作</w:t>
            </w:r>
          </w:p>
        </w:tc>
        <w:tc>
          <w:tcPr>
            <w:tcW w:w="2634" w:type="pct"/>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分配比例系数有所变化</w:t>
            </w:r>
          </w:p>
        </w:tc>
      </w:tr>
      <w:tr>
        <w:trPr>
          <w:trHeight w:val="8160" w:hRule="atLeast"/>
        </w:trPr>
        <w:tc>
          <w:tcPr>
            <w:tcW w:w="79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68" w:type="pct"/>
            <w:tcBorders>
              <w:top w:val="nil"/>
              <w:left w:val="nil"/>
              <w:bottom w:val="nil"/>
              <w:right w:val="nil"/>
            </w:tcBorders>
            <w:shd w:val="clear"/>
            <w:noWrap/>
            <w:vAlign w:val="bottom"/>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学生管理工作</w:t>
            </w:r>
          </w:p>
        </w:tc>
        <w:tc>
          <w:tcPr>
            <w:tcW w:w="798" w:type="pct"/>
            <w:tcBorders>
              <w:top w:val="nil"/>
              <w:left w:val="nil"/>
              <w:bottom w:val="nil"/>
              <w:right w:val="nil"/>
            </w:tcBorders>
            <w:shd w:val="clear"/>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思想政治教育</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 xml:space="preserve">日常管理 </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 xml:space="preserve">资助育人 </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就业指导服务</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 xml:space="preserve">信息系统建设 </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 xml:space="preserve"> 规范化工作</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心理健康教育</w:t>
            </w:r>
          </w:p>
        </w:tc>
        <w:tc>
          <w:tcPr>
            <w:tcW w:w="2634" w:type="pct"/>
            <w:tcBorders>
              <w:top w:val="nil"/>
              <w:left w:val="nil"/>
              <w:bottom w:val="nil"/>
              <w:right w:val="nil"/>
            </w:tcBorders>
            <w:shd w:val="clear"/>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Style w:val="14"/>
                <w:bdr w:val="none" w:color="auto" w:sz="0" w:space="0"/>
                <w:lang w:val="en-US" w:eastAsia="zh-CN" w:bidi="ar"/>
              </w:rPr>
              <w:t>新规与旧规有不同之处：</w:t>
            </w:r>
            <w:r>
              <w:rPr>
                <w:rStyle w:val="14"/>
                <w:bdr w:val="none" w:color="auto" w:sz="0" w:space="0"/>
                <w:lang w:val="en-US" w:eastAsia="zh-CN" w:bidi="ar"/>
              </w:rPr>
              <w:br w:type="textWrapping"/>
            </w:r>
            <w:r>
              <w:rPr>
                <w:rStyle w:val="14"/>
                <w:bdr w:val="none" w:color="auto" w:sz="0" w:space="0"/>
                <w:lang w:val="en-US" w:eastAsia="zh-CN" w:bidi="ar"/>
              </w:rPr>
              <w:t>1.课堂出勤评分调整：</w:t>
            </w:r>
            <w:r>
              <w:rPr>
                <w:rStyle w:val="14"/>
                <w:bdr w:val="none" w:color="auto" w:sz="0" w:space="0"/>
                <w:lang w:val="en-US" w:eastAsia="zh-CN" w:bidi="ar"/>
              </w:rPr>
              <w:br w:type="textWrapping"/>
            </w:r>
            <w:r>
              <w:rPr>
                <w:rStyle w:val="14"/>
                <w:bdr w:val="none" w:color="auto" w:sz="0" w:space="0"/>
                <w:lang w:val="en-US" w:eastAsia="zh-CN" w:bidi="ar"/>
              </w:rPr>
              <w:t xml:space="preserve">   - 新规：全校排名第一计30分，每后降1分。</w:t>
            </w:r>
            <w:r>
              <w:rPr>
                <w:rStyle w:val="14"/>
                <w:bdr w:val="none" w:color="auto" w:sz="0" w:space="0"/>
                <w:lang w:val="en-US" w:eastAsia="zh-CN" w:bidi="ar"/>
              </w:rPr>
              <w:br w:type="textWrapping"/>
            </w:r>
            <w:r>
              <w:rPr>
                <w:rStyle w:val="14"/>
                <w:bdr w:val="none" w:color="auto" w:sz="0" w:space="0"/>
                <w:lang w:val="en-US" w:eastAsia="zh-CN" w:bidi="ar"/>
              </w:rPr>
              <w:t xml:space="preserve">   - 旧规：全校排名第一计50分，每后降5分，从第十名开始均为5分。</w:t>
            </w:r>
            <w:r>
              <w:rPr>
                <w:rStyle w:val="14"/>
                <w:bdr w:val="none" w:color="auto" w:sz="0" w:space="0"/>
                <w:lang w:val="en-US" w:eastAsia="zh-CN" w:bidi="ar"/>
              </w:rPr>
              <w:br w:type="textWrapping"/>
            </w:r>
            <w:r>
              <w:rPr>
                <w:rStyle w:val="14"/>
                <w:bdr w:val="none" w:color="auto" w:sz="0" w:space="0"/>
                <w:lang w:val="en-US" w:eastAsia="zh-CN" w:bidi="ar"/>
              </w:rPr>
              <w:t>2. **学生工作部分卷宗**：</w:t>
            </w:r>
            <w:r>
              <w:rPr>
                <w:rStyle w:val="14"/>
                <w:bdr w:val="none" w:color="auto" w:sz="0" w:space="0"/>
                <w:lang w:val="en-US" w:eastAsia="zh-CN" w:bidi="ar"/>
              </w:rPr>
              <w:br w:type="textWrapping"/>
            </w:r>
            <w:r>
              <w:rPr>
                <w:rStyle w:val="14"/>
                <w:bdr w:val="none" w:color="auto" w:sz="0" w:space="0"/>
                <w:lang w:val="en-US" w:eastAsia="zh-CN" w:bidi="ar"/>
              </w:rPr>
              <w:t xml:space="preserve">   - 新规：得分为30分。</w:t>
            </w:r>
            <w:r>
              <w:rPr>
                <w:rStyle w:val="14"/>
                <w:bdr w:val="none" w:color="auto" w:sz="0" w:space="0"/>
                <w:lang w:val="en-US" w:eastAsia="zh-CN" w:bidi="ar"/>
              </w:rPr>
              <w:br w:type="textWrapping"/>
            </w:r>
            <w:r>
              <w:rPr>
                <w:rStyle w:val="14"/>
                <w:bdr w:val="none" w:color="auto" w:sz="0" w:space="0"/>
                <w:lang w:val="en-US" w:eastAsia="zh-CN" w:bidi="ar"/>
              </w:rPr>
              <w:t xml:space="preserve">   - 旧规：得分为50分。</w:t>
            </w:r>
            <w:r>
              <w:rPr>
                <w:rStyle w:val="14"/>
                <w:bdr w:val="none" w:color="auto" w:sz="0" w:space="0"/>
                <w:lang w:val="en-US" w:eastAsia="zh-CN" w:bidi="ar"/>
              </w:rPr>
              <w:br w:type="textWrapping"/>
            </w:r>
            <w:r>
              <w:rPr>
                <w:rStyle w:val="14"/>
                <w:bdr w:val="none" w:color="auto" w:sz="0" w:space="0"/>
                <w:lang w:val="en-US" w:eastAsia="zh-CN" w:bidi="ar"/>
              </w:rPr>
              <w:t>3. **排名得分减少规则**：</w:t>
            </w:r>
            <w:r>
              <w:rPr>
                <w:rStyle w:val="14"/>
                <w:bdr w:val="none" w:color="auto" w:sz="0" w:space="0"/>
                <w:lang w:val="en-US" w:eastAsia="zh-CN" w:bidi="ar"/>
              </w:rPr>
              <w:br w:type="textWrapping"/>
            </w:r>
            <w:r>
              <w:rPr>
                <w:rStyle w:val="14"/>
                <w:bdr w:val="none" w:color="auto" w:sz="0" w:space="0"/>
                <w:lang w:val="en-US" w:eastAsia="zh-CN" w:bidi="ar"/>
              </w:rPr>
              <w:t xml:space="preserve">   - 新规：大多数项目的排名每后降2或3分。</w:t>
            </w:r>
            <w:r>
              <w:rPr>
                <w:rStyle w:val="14"/>
                <w:bdr w:val="none" w:color="auto" w:sz="0" w:space="0"/>
                <w:lang w:val="en-US" w:eastAsia="zh-CN" w:bidi="ar"/>
              </w:rPr>
              <w:br w:type="textWrapping"/>
            </w:r>
            <w:r>
              <w:rPr>
                <w:rStyle w:val="14"/>
                <w:bdr w:val="none" w:color="auto" w:sz="0" w:space="0"/>
                <w:lang w:val="en-US" w:eastAsia="zh-CN" w:bidi="ar"/>
              </w:rPr>
              <w:t xml:space="preserve">   - 旧规：大多数项目排名每后降10分，且从第十名开始得分均为10分。</w:t>
            </w:r>
            <w:r>
              <w:rPr>
                <w:rStyle w:val="14"/>
                <w:bdr w:val="none" w:color="auto" w:sz="0" w:space="0"/>
                <w:lang w:val="en-US" w:eastAsia="zh-CN" w:bidi="ar"/>
              </w:rPr>
              <w:br w:type="textWrapping"/>
            </w:r>
            <w:r>
              <w:rPr>
                <w:rStyle w:val="14"/>
                <w:bdr w:val="none" w:color="auto" w:sz="0" w:space="0"/>
                <w:lang w:val="en-US" w:eastAsia="zh-CN" w:bidi="ar"/>
              </w:rPr>
              <w:t>4. **总体评分上限**：</w:t>
            </w:r>
            <w:r>
              <w:rPr>
                <w:rStyle w:val="14"/>
                <w:bdr w:val="none" w:color="auto" w:sz="0" w:space="0"/>
                <w:lang w:val="en-US" w:eastAsia="zh-CN" w:bidi="ar"/>
              </w:rPr>
              <w:br w:type="textWrapping"/>
            </w:r>
            <w:r>
              <w:rPr>
                <w:rStyle w:val="14"/>
                <w:bdr w:val="none" w:color="auto" w:sz="0" w:space="0"/>
                <w:lang w:val="en-US" w:eastAsia="zh-CN" w:bidi="ar"/>
              </w:rPr>
              <w:t xml:space="preserve">   - 新规：</w:t>
            </w:r>
            <w:r>
              <w:rPr>
                <w:rStyle w:val="14"/>
                <w:i w:val="0"/>
                <w:iCs w:val="0"/>
                <w:color w:val="000000"/>
                <w:lang w:val="en-US" w:eastAsia="zh-CN" w:bidi="ar"/>
              </w:rPr>
              <w:t>只是细化了每一项的第一名得分</w:t>
            </w:r>
            <w:r>
              <w:rPr>
                <w:rStyle w:val="14"/>
                <w:bdr w:val="none" w:color="auto" w:sz="0" w:space="0"/>
                <w:lang w:val="en-US" w:eastAsia="zh-CN" w:bidi="ar"/>
              </w:rPr>
              <w:br w:type="textWrapping"/>
            </w:r>
            <w:r>
              <w:rPr>
                <w:rStyle w:val="14"/>
                <w:bdr w:val="none" w:color="auto" w:sz="0" w:space="0"/>
                <w:lang w:val="en-US" w:eastAsia="zh-CN" w:bidi="ar"/>
              </w:rPr>
              <w:t xml:space="preserve">   - 旧规：全校排名第一计100分，后续排名递减。</w:t>
            </w:r>
            <w:r>
              <w:rPr>
                <w:rStyle w:val="14"/>
                <w:bdr w:val="none" w:color="auto" w:sz="0" w:space="0"/>
                <w:lang w:val="en-US" w:eastAsia="zh-CN" w:bidi="ar"/>
              </w:rPr>
              <w:br w:type="textWrapping"/>
            </w:r>
            <w:r>
              <w:rPr>
                <w:rStyle w:val="14"/>
                <w:bdr w:val="none" w:color="auto" w:sz="0" w:space="0"/>
                <w:lang w:val="en-US" w:eastAsia="zh-CN" w:bidi="ar"/>
              </w:rPr>
              <w:t>5. **宿舍管理排名**：</w:t>
            </w:r>
            <w:r>
              <w:rPr>
                <w:rStyle w:val="14"/>
                <w:bdr w:val="none" w:color="auto" w:sz="0" w:space="0"/>
                <w:lang w:val="en-US" w:eastAsia="zh-CN" w:bidi="ar"/>
              </w:rPr>
              <w:br w:type="textWrapping"/>
            </w:r>
            <w:r>
              <w:rPr>
                <w:rStyle w:val="14"/>
                <w:bdr w:val="none" w:color="auto" w:sz="0" w:space="0"/>
                <w:lang w:val="en-US" w:eastAsia="zh-CN" w:bidi="ar"/>
              </w:rPr>
              <w:t xml:space="preserve">   - 新规：全校排名第一计40分，每后降2分。</w:t>
            </w:r>
            <w:r>
              <w:rPr>
                <w:rStyle w:val="14"/>
                <w:bdr w:val="none" w:color="auto" w:sz="0" w:space="0"/>
                <w:lang w:val="en-US" w:eastAsia="zh-CN" w:bidi="ar"/>
              </w:rPr>
              <w:br w:type="textWrapping"/>
            </w:r>
            <w:r>
              <w:rPr>
                <w:rStyle w:val="14"/>
                <w:bdr w:val="none" w:color="auto" w:sz="0" w:space="0"/>
                <w:lang w:val="en-US" w:eastAsia="zh-CN" w:bidi="ar"/>
              </w:rPr>
              <w:t xml:space="preserve">   - 旧规：全校排名第一计100分，每后降10分，从第十名开始均为10分。</w:t>
            </w:r>
            <w:r>
              <w:rPr>
                <w:rStyle w:val="14"/>
                <w:bdr w:val="none" w:color="auto" w:sz="0" w:space="0"/>
                <w:lang w:val="en-US" w:eastAsia="zh-CN" w:bidi="ar"/>
              </w:rPr>
              <w:br w:type="textWrapping"/>
            </w:r>
            <w:r>
              <w:rPr>
                <w:rStyle w:val="14"/>
                <w:bdr w:val="none" w:color="auto" w:sz="0" w:space="0"/>
                <w:lang w:val="en-US" w:eastAsia="zh-CN" w:bidi="ar"/>
              </w:rPr>
              <w:t>6. **资助机构与相关评分：</w:t>
            </w:r>
            <w:r>
              <w:rPr>
                <w:rStyle w:val="14"/>
                <w:bdr w:val="none" w:color="auto" w:sz="0" w:space="0"/>
                <w:lang w:val="en-US" w:eastAsia="zh-CN" w:bidi="ar"/>
              </w:rPr>
              <w:br w:type="textWrapping"/>
            </w:r>
            <w:r>
              <w:rPr>
                <w:rStyle w:val="14"/>
                <w:bdr w:val="none" w:color="auto" w:sz="0" w:space="0"/>
                <w:lang w:val="en-US" w:eastAsia="zh-CN" w:bidi="ar"/>
              </w:rPr>
              <w:t xml:space="preserve">   - 新规：列出了详细的资助相关评分项目和分数。</w:t>
            </w:r>
            <w:r>
              <w:rPr>
                <w:rStyle w:val="14"/>
                <w:bdr w:val="none" w:color="auto" w:sz="0" w:space="0"/>
                <w:lang w:val="en-US" w:eastAsia="zh-CN" w:bidi="ar"/>
              </w:rPr>
              <w:br w:type="textWrapping"/>
            </w:r>
            <w:r>
              <w:rPr>
                <w:rStyle w:val="14"/>
                <w:bdr w:val="none" w:color="auto" w:sz="0" w:space="0"/>
                <w:lang w:val="en-US" w:eastAsia="zh-CN" w:bidi="ar"/>
              </w:rPr>
              <w:t xml:space="preserve">   - 旧规：没有提到与资助机构相关的评分标准。</w:t>
            </w:r>
            <w:r>
              <w:rPr>
                <w:rStyle w:val="14"/>
                <w:bdr w:val="none" w:color="auto" w:sz="0" w:space="0"/>
                <w:lang w:val="en-US" w:eastAsia="zh-CN" w:bidi="ar"/>
              </w:rPr>
              <w:br w:type="textWrapping"/>
            </w:r>
            <w:r>
              <w:rPr>
                <w:rStyle w:val="14"/>
                <w:bdr w:val="none" w:color="auto" w:sz="0" w:space="0"/>
                <w:lang w:val="en-US" w:eastAsia="zh-CN" w:bidi="ar"/>
              </w:rPr>
              <w:t>7. **初次就业率评分**：</w:t>
            </w:r>
            <w:r>
              <w:rPr>
                <w:rStyle w:val="14"/>
                <w:bdr w:val="none" w:color="auto" w:sz="0" w:space="0"/>
                <w:lang w:val="en-US" w:eastAsia="zh-CN" w:bidi="ar"/>
              </w:rPr>
              <w:br w:type="textWrapping"/>
            </w:r>
            <w:r>
              <w:rPr>
                <w:rStyle w:val="14"/>
                <w:bdr w:val="none" w:color="auto" w:sz="0" w:space="0"/>
                <w:lang w:val="en-US" w:eastAsia="zh-CN" w:bidi="ar"/>
              </w:rPr>
              <w:t xml:space="preserve">   - 新规：提供了详细的初次就业率的得分细则。</w:t>
            </w:r>
            <w:r>
              <w:rPr>
                <w:rStyle w:val="14"/>
                <w:bdr w:val="none" w:color="auto" w:sz="0" w:space="0"/>
                <w:lang w:val="en-US" w:eastAsia="zh-CN" w:bidi="ar"/>
              </w:rPr>
              <w:br w:type="textWrapping"/>
            </w:r>
            <w:r>
              <w:rPr>
                <w:rStyle w:val="14"/>
                <w:bdr w:val="none" w:color="auto" w:sz="0" w:space="0"/>
                <w:lang w:val="en-US" w:eastAsia="zh-CN" w:bidi="ar"/>
              </w:rPr>
              <w:t xml:space="preserve">   - 旧规：没有提及初次就业率的评分标准。</w:t>
            </w:r>
            <w:r>
              <w:rPr>
                <w:rStyle w:val="14"/>
                <w:bdr w:val="none" w:color="auto" w:sz="0" w:space="0"/>
                <w:lang w:val="en-US" w:eastAsia="zh-CN" w:bidi="ar"/>
              </w:rPr>
              <w:br w:type="textWrapping"/>
            </w:r>
            <w:r>
              <w:rPr>
                <w:rStyle w:val="14"/>
                <w:bdr w:val="none" w:color="auto" w:sz="0" w:space="0"/>
                <w:lang w:val="en-US" w:eastAsia="zh-CN" w:bidi="ar"/>
              </w:rPr>
              <w:t>8. **学院活动与材料提供**：</w:t>
            </w:r>
            <w:r>
              <w:rPr>
                <w:rStyle w:val="14"/>
                <w:bdr w:val="none" w:color="auto" w:sz="0" w:space="0"/>
                <w:lang w:val="en-US" w:eastAsia="zh-CN" w:bidi="ar"/>
              </w:rPr>
              <w:br w:type="textWrapping"/>
            </w:r>
            <w:r>
              <w:rPr>
                <w:rStyle w:val="14"/>
                <w:bdr w:val="none" w:color="auto" w:sz="0" w:space="0"/>
                <w:lang w:val="en-US" w:eastAsia="zh-CN" w:bidi="ar"/>
              </w:rPr>
              <w:t xml:space="preserve">   - 新规：提到了由各学院提供的材料评分，如就业指导活动、学院招聘活动等。</w:t>
            </w:r>
            <w:r>
              <w:rPr>
                <w:rStyle w:val="14"/>
                <w:bdr w:val="none" w:color="auto" w:sz="0" w:space="0"/>
                <w:lang w:val="en-US" w:eastAsia="zh-CN" w:bidi="ar"/>
              </w:rPr>
              <w:br w:type="textWrapping"/>
            </w:r>
            <w:r>
              <w:rPr>
                <w:rStyle w:val="14"/>
                <w:bdr w:val="none" w:color="auto" w:sz="0" w:space="0"/>
                <w:lang w:val="en-US" w:eastAsia="zh-CN" w:bidi="ar"/>
              </w:rPr>
              <w:t xml:space="preserve">   - 旧规：对学院活动和材料提供的评分标准没有具体提及。</w:t>
            </w:r>
            <w:r>
              <w:rPr>
                <w:rStyle w:val="14"/>
                <w:bdr w:val="none" w:color="auto" w:sz="0" w:space="0"/>
                <w:lang w:val="en-US" w:eastAsia="zh-CN" w:bidi="ar"/>
              </w:rPr>
              <w:br w:type="textWrapping"/>
            </w:r>
            <w:r>
              <w:rPr>
                <w:rStyle w:val="14"/>
                <w:bdr w:val="none" w:color="auto" w:sz="0" w:space="0"/>
                <w:lang w:val="en-US" w:eastAsia="zh-CN" w:bidi="ar"/>
              </w:rPr>
              <w:t>9. **组织开展活动**：</w:t>
            </w:r>
            <w:r>
              <w:rPr>
                <w:rStyle w:val="14"/>
                <w:bdr w:val="none" w:color="auto" w:sz="0" w:space="0"/>
                <w:lang w:val="en-US" w:eastAsia="zh-CN" w:bidi="ar"/>
              </w:rPr>
              <w:br w:type="textWrapping"/>
            </w:r>
            <w:r>
              <w:rPr>
                <w:rStyle w:val="14"/>
                <w:bdr w:val="none" w:color="auto" w:sz="0" w:space="0"/>
                <w:lang w:val="en-US" w:eastAsia="zh-CN" w:bidi="ar"/>
              </w:rPr>
              <w:t xml:space="preserve">   - 新规：强调了组织不少于8次的系列主题教育活动等。</w:t>
            </w:r>
            <w:r>
              <w:rPr>
                <w:rStyle w:val="14"/>
                <w:bdr w:val="none" w:color="auto" w:sz="0" w:space="0"/>
                <w:lang w:val="en-US" w:eastAsia="zh-CN" w:bidi="ar"/>
              </w:rPr>
              <w:br w:type="textWrapping"/>
            </w:r>
            <w:r>
              <w:rPr>
                <w:rStyle w:val="14"/>
                <w:bdr w:val="none" w:color="auto" w:sz="0" w:space="0"/>
                <w:lang w:val="en-US" w:eastAsia="zh-CN" w:bidi="ar"/>
              </w:rPr>
              <w:t xml:space="preserve">   - 旧规：没有具体提及组织活动的次数要求。</w:t>
            </w:r>
            <w:r>
              <w:rPr>
                <w:rStyle w:val="14"/>
                <w:bdr w:val="none" w:color="auto" w:sz="0" w:space="0"/>
                <w:lang w:val="en-US" w:eastAsia="zh-CN" w:bidi="ar"/>
              </w:rPr>
              <w:br w:type="textWrapping"/>
            </w:r>
            <w:r>
              <w:rPr>
                <w:rStyle w:val="14"/>
                <w:bdr w:val="none" w:color="auto" w:sz="0" w:space="0"/>
                <w:lang w:val="en-US" w:eastAsia="zh-CN" w:bidi="ar"/>
              </w:rPr>
              <w:t>10. **材料报送规范**：</w:t>
            </w:r>
            <w:r>
              <w:rPr>
                <w:rStyle w:val="14"/>
                <w:bdr w:val="none" w:color="auto" w:sz="0" w:space="0"/>
                <w:lang w:val="en-US" w:eastAsia="zh-CN" w:bidi="ar"/>
              </w:rPr>
              <w:br w:type="textWrapping"/>
            </w:r>
            <w:r>
              <w:rPr>
                <w:rStyle w:val="14"/>
                <w:bdr w:val="none" w:color="auto" w:sz="0" w:space="0"/>
                <w:lang w:val="en-US" w:eastAsia="zh-CN" w:bidi="ar"/>
              </w:rPr>
              <w:t xml:space="preserve">    - 新规：对材料报送的时效性和规范性有所强调，有扣分规则。</w:t>
            </w:r>
            <w:r>
              <w:rPr>
                <w:rStyle w:val="14"/>
                <w:bdr w:val="none" w:color="auto" w:sz="0" w:space="0"/>
                <w:lang w:val="en-US" w:eastAsia="zh-CN" w:bidi="ar"/>
              </w:rPr>
              <w:br w:type="textWrapping"/>
            </w:r>
            <w:r>
              <w:rPr>
                <w:rStyle w:val="14"/>
                <w:bdr w:val="none" w:color="auto" w:sz="0" w:space="0"/>
                <w:lang w:val="en-US" w:eastAsia="zh-CN" w:bidi="ar"/>
              </w:rPr>
              <w:t xml:space="preserve">    - 旧规：对于材料报送没有明确的扣分规则。</w:t>
            </w:r>
            <w:r>
              <w:rPr>
                <w:rStyle w:val="14"/>
                <w:bdr w:val="none" w:color="auto" w:sz="0" w:space="0"/>
                <w:lang w:val="en-US" w:eastAsia="zh-CN" w:bidi="ar"/>
              </w:rPr>
              <w:br w:type="textWrapping"/>
            </w:r>
            <w:r>
              <w:rPr>
                <w:rStyle w:val="14"/>
                <w:bdr w:val="none" w:color="auto" w:sz="0" w:space="0"/>
                <w:lang w:val="en-US" w:eastAsia="zh-CN" w:bidi="ar"/>
              </w:rPr>
              <w:br w:type="textWrapping"/>
            </w:r>
            <w:r>
              <w:rPr>
                <w:rStyle w:val="14"/>
                <w:bdr w:val="none" w:color="auto" w:sz="0" w:space="0"/>
                <w:lang w:val="en-US" w:eastAsia="zh-CN" w:bidi="ar"/>
              </w:rPr>
              <w:t>这些差异可能反映出学校在评价体系上的更新，更细化和具体的评估方法，以及对不同项目的重视程度可能发生了变化。</w:t>
            </w:r>
          </w:p>
        </w:tc>
      </w:tr>
      <w:tr>
        <w:trPr>
          <w:trHeight w:val="4040" w:hRule="atLeast"/>
        </w:trPr>
        <w:tc>
          <w:tcPr>
            <w:tcW w:w="798" w:type="pct"/>
            <w:vMerge w:val="continue"/>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p>
        </w:tc>
        <w:tc>
          <w:tcPr>
            <w:tcW w:w="768" w:type="pct"/>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共青团工作</w:t>
            </w:r>
          </w:p>
        </w:tc>
        <w:tc>
          <w:tcPr>
            <w:tcW w:w="798" w:type="pct"/>
            <w:tcBorders>
              <w:top w:val="nil"/>
              <w:left w:val="nil"/>
              <w:bottom w:val="nil"/>
              <w:right w:val="nil"/>
            </w:tcBorders>
            <w:shd w:val="clear"/>
            <w:vAlign w:val="top"/>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思想政治引领</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 xml:space="preserve">组织建设 </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 xml:space="preserve">团学改革 </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成长服务工作</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双创项目</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“攀登计划”</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 xml:space="preserve">其他  </w:t>
            </w:r>
          </w:p>
        </w:tc>
        <w:tc>
          <w:tcPr>
            <w:tcW w:w="2634" w:type="pct"/>
            <w:tcBorders>
              <w:top w:val="nil"/>
              <w:left w:val="nil"/>
              <w:bottom w:val="nil"/>
              <w:right w:val="nil"/>
            </w:tcBorders>
            <w:shd w:val="clear"/>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思想政治引领、组织建设 、团学改革由校团委根据《二级学院共青团工作考核指标体系》进行考核。</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1.攀登计划：广东大学生科技创新培育专项资金（即“攀登计划”专项资金）中，结项省级重点项目计50分，省级一般项目计30分。</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2.承办省级攀登大讲堂学术讲座每次计50分。由校团委联合创新创业学院共同考核。</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1.学院基层团组织或学生组织获得团中央或全国学联表彰，加30分；获得团省委或省学联表彰，加20分；获得团市委或市学联表彰，加15分；获得团区委或校团委表彰，加10分。（30分封顶）</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2.师生（团队或个人）获得团中央或全国学联表彰，加30分；获得团省委或省学联表彰，加20分；获得团市委或市学联表彰，加10分；获得团区委或校团委表彰，加10分。（80分封顶）</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3.“智慧团建”学社衔接率、团员教育评议完成率、团员年度注册完成率、团费缴纳率、“智慧团建”系统业务响应率等项目完成度低于考核指标的，扣10分/项。</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由校团委牵头考核。</w:t>
            </w:r>
          </w:p>
        </w:tc>
      </w:tr>
      <w:tr>
        <w:trPr>
          <w:trHeight w:val="1680" w:hRule="atLeast"/>
        </w:trPr>
        <w:tc>
          <w:tcPr>
            <w:tcW w:w="798" w:type="pct"/>
            <w:vMerge w:val="continue"/>
            <w:tcBorders>
              <w:top w:val="nil"/>
              <w:left w:val="nil"/>
              <w:bottom w:val="nil"/>
              <w:right w:val="nil"/>
            </w:tcBorders>
            <w:shd w:val="clear"/>
            <w:noWrap/>
            <w:vAlign w:val="center"/>
          </w:tcPr>
          <w:p>
            <w:pPr>
              <w:jc w:val="center"/>
              <w:rPr>
                <w:rFonts w:hint="default" w:ascii="微软雅黑" w:hAnsi="微软雅黑" w:eastAsia="微软雅黑" w:cs="微软雅黑"/>
                <w:i w:val="0"/>
                <w:iCs w:val="0"/>
                <w:color w:val="000000"/>
                <w:sz w:val="22"/>
                <w:szCs w:val="22"/>
                <w:u w:val="none"/>
              </w:rPr>
            </w:pPr>
          </w:p>
        </w:tc>
        <w:tc>
          <w:tcPr>
            <w:tcW w:w="768" w:type="pct"/>
            <w:tcBorders>
              <w:top w:val="nil"/>
              <w:left w:val="nil"/>
              <w:bottom w:val="nil"/>
              <w:right w:val="nil"/>
            </w:tcBorders>
            <w:shd w:val="clear"/>
            <w:noWrap/>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bdr w:val="none" w:color="auto" w:sz="0" w:space="0"/>
                <w:lang w:val="en-US" w:eastAsia="zh-CN" w:bidi="ar"/>
              </w:rPr>
              <w:t>学工队伍建设</w:t>
            </w:r>
          </w:p>
        </w:tc>
        <w:tc>
          <w:tcPr>
            <w:tcW w:w="798" w:type="pct"/>
            <w:tcBorders>
              <w:top w:val="nil"/>
              <w:left w:val="nil"/>
              <w:bottom w:val="nil"/>
              <w:right w:val="nil"/>
            </w:tcBorders>
            <w:shd w:val="clear"/>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bdr w:val="none" w:color="auto" w:sz="0" w:space="0"/>
                <w:lang w:val="en-US" w:eastAsia="zh-CN" w:bidi="ar"/>
              </w:rPr>
              <w:t>班主任</w:t>
            </w:r>
            <w:r>
              <w:rPr>
                <w:rFonts w:hint="default" w:ascii="微软雅黑" w:hAnsi="微软雅黑" w:eastAsia="微软雅黑" w:cs="微软雅黑"/>
                <w:i w:val="0"/>
                <w:iCs w:val="0"/>
                <w:color w:val="000000"/>
                <w:kern w:val="0"/>
                <w:sz w:val="22"/>
                <w:szCs w:val="22"/>
                <w:u w:val="none"/>
                <w:bdr w:val="none" w:color="auto" w:sz="0" w:space="0"/>
                <w:lang w:val="en-US" w:eastAsia="zh-CN" w:bidi="ar"/>
              </w:rPr>
              <w:br w:type="textWrapping"/>
            </w:r>
            <w:r>
              <w:rPr>
                <w:rFonts w:hint="default" w:ascii="微软雅黑" w:hAnsi="微软雅黑" w:eastAsia="微软雅黑" w:cs="微软雅黑"/>
                <w:i w:val="0"/>
                <w:iCs w:val="0"/>
                <w:color w:val="000000"/>
                <w:kern w:val="0"/>
                <w:sz w:val="22"/>
                <w:szCs w:val="22"/>
                <w:u w:val="none"/>
                <w:bdr w:val="none" w:color="auto" w:sz="0" w:space="0"/>
                <w:lang w:val="en-US" w:eastAsia="zh-CN" w:bidi="ar"/>
              </w:rPr>
              <w:t xml:space="preserve">队伍建设 </w:t>
            </w:r>
            <w:r>
              <w:rPr>
                <w:rFonts w:hint="default" w:ascii="微软雅黑" w:hAnsi="微软雅黑" w:eastAsia="微软雅黑" w:cs="微软雅黑"/>
                <w:i w:val="0"/>
                <w:iCs w:val="0"/>
                <w:color w:val="000000"/>
                <w:kern w:val="0"/>
                <w:sz w:val="22"/>
                <w:szCs w:val="22"/>
                <w:u w:val="none"/>
                <w:bdr w:val="none" w:color="auto" w:sz="0" w:space="0"/>
                <w:lang w:val="en-US" w:eastAsia="zh-CN" w:bidi="ar"/>
              </w:rPr>
              <w:br w:type="textWrapping"/>
            </w:r>
            <w:r>
              <w:rPr>
                <w:rFonts w:hint="default" w:ascii="微软雅黑" w:hAnsi="微软雅黑" w:eastAsia="微软雅黑" w:cs="微软雅黑"/>
                <w:i w:val="0"/>
                <w:iCs w:val="0"/>
                <w:color w:val="000000"/>
                <w:kern w:val="0"/>
                <w:sz w:val="22"/>
                <w:szCs w:val="22"/>
                <w:u w:val="none"/>
                <w:bdr w:val="none" w:color="auto" w:sz="0" w:space="0"/>
                <w:lang w:val="en-US" w:eastAsia="zh-CN" w:bidi="ar"/>
              </w:rPr>
              <w:t>辅导员</w:t>
            </w:r>
            <w:r>
              <w:rPr>
                <w:rFonts w:hint="default" w:ascii="微软雅黑" w:hAnsi="微软雅黑" w:eastAsia="微软雅黑" w:cs="微软雅黑"/>
                <w:i w:val="0"/>
                <w:iCs w:val="0"/>
                <w:color w:val="000000"/>
                <w:kern w:val="0"/>
                <w:sz w:val="22"/>
                <w:szCs w:val="22"/>
                <w:u w:val="none"/>
                <w:bdr w:val="none" w:color="auto" w:sz="0" w:space="0"/>
                <w:lang w:val="en-US" w:eastAsia="zh-CN" w:bidi="ar"/>
              </w:rPr>
              <w:br w:type="textWrapping"/>
            </w:r>
            <w:r>
              <w:rPr>
                <w:rFonts w:hint="default" w:ascii="微软雅黑" w:hAnsi="微软雅黑" w:eastAsia="微软雅黑" w:cs="微软雅黑"/>
                <w:i w:val="0"/>
                <w:iCs w:val="0"/>
                <w:color w:val="000000"/>
                <w:kern w:val="0"/>
                <w:sz w:val="22"/>
                <w:szCs w:val="22"/>
                <w:u w:val="none"/>
                <w:bdr w:val="none" w:color="auto" w:sz="0" w:space="0"/>
                <w:lang w:val="en-US" w:eastAsia="zh-CN" w:bidi="ar"/>
              </w:rPr>
              <w:t xml:space="preserve">队伍建设 </w:t>
            </w:r>
            <w:r>
              <w:rPr>
                <w:rFonts w:hint="default" w:ascii="微软雅黑" w:hAnsi="微软雅黑" w:eastAsia="微软雅黑" w:cs="微软雅黑"/>
                <w:i w:val="0"/>
                <w:iCs w:val="0"/>
                <w:color w:val="000000"/>
                <w:kern w:val="0"/>
                <w:sz w:val="22"/>
                <w:szCs w:val="22"/>
                <w:u w:val="none"/>
                <w:bdr w:val="none" w:color="auto" w:sz="0" w:space="0"/>
                <w:lang w:val="en-US" w:eastAsia="zh-CN" w:bidi="ar"/>
              </w:rPr>
              <w:br w:type="textWrapping"/>
            </w:r>
            <w:r>
              <w:rPr>
                <w:rFonts w:hint="default" w:ascii="微软雅黑" w:hAnsi="微软雅黑" w:eastAsia="微软雅黑" w:cs="微软雅黑"/>
                <w:i w:val="0"/>
                <w:iCs w:val="0"/>
                <w:color w:val="000000"/>
                <w:kern w:val="0"/>
                <w:sz w:val="22"/>
                <w:szCs w:val="22"/>
                <w:u w:val="none"/>
                <w:bdr w:val="none" w:color="auto" w:sz="0" w:space="0"/>
                <w:lang w:val="en-US" w:eastAsia="zh-CN" w:bidi="ar"/>
              </w:rPr>
              <w:t xml:space="preserve">建设成效 </w:t>
            </w:r>
          </w:p>
        </w:tc>
        <w:tc>
          <w:tcPr>
            <w:tcW w:w="2634" w:type="pct"/>
            <w:tcBorders>
              <w:top w:val="nil"/>
              <w:left w:val="nil"/>
              <w:bottom w:val="nil"/>
              <w:right w:val="nil"/>
            </w:tcBorders>
            <w:shd w:val="clear"/>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增加了“获得优秀辅导员称号，当年，校级和地市级计5分/人”，“辅导员参加思政论文、工作案例等评选或指导学生综合素质竞赛，获评地市级奖项计5分/项，省级奖项8分/项，国家级奖项10分/项。”,"班级或团队获评“头雁班级”等校级及以上荣誉称号的，校级和地市级计5分/项、省级8分/项，国家级10分/项。","学生获得大学生年度人物省级提名奖计20分/人，单项奖计30分/人；国家级计50分/人次。"</w:t>
            </w:r>
          </w:p>
        </w:tc>
      </w:tr>
      <w:tr>
        <w:trPr>
          <w:trHeight w:val="1360" w:hRule="atLeast"/>
        </w:trPr>
        <w:tc>
          <w:tcPr>
            <w:tcW w:w="798" w:type="pct"/>
            <w:vMerge w:val="continue"/>
            <w:tcBorders>
              <w:top w:val="nil"/>
              <w:left w:val="nil"/>
              <w:bottom w:val="nil"/>
              <w:right w:val="nil"/>
            </w:tcBorders>
            <w:shd w:val="clear"/>
            <w:noWrap/>
            <w:vAlign w:val="center"/>
          </w:tcPr>
          <w:p>
            <w:pPr>
              <w:jc w:val="center"/>
              <w:rPr>
                <w:rFonts w:hint="default" w:ascii="微软雅黑" w:hAnsi="微软雅黑" w:eastAsia="微软雅黑" w:cs="微软雅黑"/>
                <w:i w:val="0"/>
                <w:iCs w:val="0"/>
                <w:color w:val="000000"/>
                <w:sz w:val="22"/>
                <w:szCs w:val="22"/>
                <w:u w:val="none"/>
              </w:rPr>
            </w:pPr>
          </w:p>
        </w:tc>
        <w:tc>
          <w:tcPr>
            <w:tcW w:w="768" w:type="pct"/>
            <w:tcBorders>
              <w:top w:val="nil"/>
              <w:left w:val="nil"/>
              <w:bottom w:val="nil"/>
              <w:right w:val="nil"/>
            </w:tcBorders>
            <w:shd w:val="clear"/>
            <w:noWrap/>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bdr w:val="none" w:color="auto" w:sz="0" w:space="0"/>
                <w:lang w:val="en-US" w:eastAsia="zh-CN" w:bidi="ar"/>
              </w:rPr>
              <w:t>安全工作</w:t>
            </w:r>
          </w:p>
        </w:tc>
        <w:tc>
          <w:tcPr>
            <w:tcW w:w="798" w:type="pct"/>
            <w:tcBorders>
              <w:top w:val="nil"/>
              <w:left w:val="nil"/>
              <w:bottom w:val="nil"/>
              <w:right w:val="nil"/>
            </w:tcBorders>
            <w:shd w:val="clear"/>
            <w:noWrap/>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bdr w:val="none" w:color="auto" w:sz="0" w:space="0"/>
                <w:lang w:val="en-US" w:eastAsia="zh-CN" w:bidi="ar"/>
              </w:rPr>
              <w:t>安全工作</w:t>
            </w:r>
          </w:p>
        </w:tc>
        <w:tc>
          <w:tcPr>
            <w:tcW w:w="2634" w:type="pct"/>
            <w:tcBorders>
              <w:top w:val="nil"/>
              <w:left w:val="nil"/>
              <w:bottom w:val="nil"/>
              <w:right w:val="nil"/>
            </w:tcBorders>
            <w:shd w:val="clear"/>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规定明确了高校的安全管理职责和行动要求。其中，强调了安全责任人的确定、安全教育和隐患排查的重要性，并规定了定期的安全检查和相关活动。同时，学院须遵守消防、交通、公共卫生等规定，并进行节能减排与垃圾分类等工作。保卫部与总务后勤部负责相关考核。对于安全隐患排查不到位或发生安全责任事故，学院将得0分。</w:t>
            </w:r>
          </w:p>
        </w:tc>
      </w:tr>
      <w:tr>
        <w:trPr>
          <w:trHeight w:val="1020" w:hRule="atLeast"/>
        </w:trPr>
        <w:tc>
          <w:tcPr>
            <w:tcW w:w="798" w:type="pct"/>
            <w:vMerge w:val="continue"/>
            <w:tcBorders>
              <w:top w:val="nil"/>
              <w:left w:val="nil"/>
              <w:bottom w:val="nil"/>
              <w:right w:val="nil"/>
            </w:tcBorders>
            <w:shd w:val="clear"/>
            <w:noWrap/>
            <w:vAlign w:val="center"/>
          </w:tcPr>
          <w:p>
            <w:pPr>
              <w:jc w:val="center"/>
              <w:rPr>
                <w:rFonts w:hint="default" w:ascii="微软雅黑" w:hAnsi="微软雅黑" w:eastAsia="微软雅黑" w:cs="微软雅黑"/>
                <w:i w:val="0"/>
                <w:iCs w:val="0"/>
                <w:color w:val="000000"/>
                <w:sz w:val="22"/>
                <w:szCs w:val="22"/>
                <w:u w:val="none"/>
              </w:rPr>
            </w:pPr>
          </w:p>
        </w:tc>
        <w:tc>
          <w:tcPr>
            <w:tcW w:w="768" w:type="pct"/>
            <w:tcBorders>
              <w:top w:val="nil"/>
              <w:left w:val="nil"/>
              <w:bottom w:val="nil"/>
              <w:right w:val="nil"/>
            </w:tcBorders>
            <w:shd w:val="clear"/>
            <w:noWrap/>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bdr w:val="none" w:color="auto" w:sz="0" w:space="0"/>
                <w:lang w:val="en-US" w:eastAsia="zh-CN" w:bidi="ar"/>
              </w:rPr>
              <w:t>内部控制建设 工作</w:t>
            </w:r>
          </w:p>
        </w:tc>
        <w:tc>
          <w:tcPr>
            <w:tcW w:w="798" w:type="pct"/>
            <w:tcBorders>
              <w:top w:val="nil"/>
              <w:left w:val="nil"/>
              <w:bottom w:val="nil"/>
              <w:right w:val="nil"/>
            </w:tcBorders>
            <w:shd w:val="clear"/>
            <w:noWrap/>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bdr w:val="none" w:color="auto" w:sz="0" w:space="0"/>
                <w:lang w:val="en-US" w:eastAsia="zh-CN" w:bidi="ar"/>
              </w:rPr>
              <w:t>内部控制建设   工作</w:t>
            </w:r>
          </w:p>
        </w:tc>
        <w:tc>
          <w:tcPr>
            <w:tcW w:w="2634" w:type="pct"/>
            <w:tcBorders>
              <w:top w:val="nil"/>
              <w:left w:val="nil"/>
              <w:bottom w:val="nil"/>
              <w:right w:val="nil"/>
            </w:tcBorders>
            <w:shd w:val="clear"/>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列举了高校内部控制与财务管理的各项考核内容，包括决策机制、岗位责任制、预算管理、收支管理、资产管理、采购管理、合同管理以及历史问题整改情况。这些措施旨在保证经济活动的合规性和有效性，并由审计部门负责考核。</w:t>
            </w:r>
          </w:p>
        </w:tc>
      </w:tr>
      <w:tr>
        <w:trPr>
          <w:trHeight w:val="1360" w:hRule="atLeast"/>
        </w:trPr>
        <w:tc>
          <w:tcPr>
            <w:tcW w:w="798" w:type="pct"/>
            <w:vMerge w:val="continue"/>
            <w:tcBorders>
              <w:top w:val="nil"/>
              <w:left w:val="nil"/>
              <w:bottom w:val="nil"/>
              <w:right w:val="nil"/>
            </w:tcBorders>
            <w:shd w:val="clear"/>
            <w:noWrap/>
            <w:vAlign w:val="center"/>
          </w:tcPr>
          <w:p>
            <w:pPr>
              <w:jc w:val="center"/>
              <w:rPr>
                <w:rFonts w:hint="default" w:ascii="微软雅黑" w:hAnsi="微软雅黑" w:eastAsia="微软雅黑" w:cs="微软雅黑"/>
                <w:i w:val="0"/>
                <w:iCs w:val="0"/>
                <w:color w:val="000000"/>
                <w:sz w:val="22"/>
                <w:szCs w:val="22"/>
                <w:u w:val="none"/>
              </w:rPr>
            </w:pPr>
          </w:p>
        </w:tc>
        <w:tc>
          <w:tcPr>
            <w:tcW w:w="768" w:type="pct"/>
            <w:tcBorders>
              <w:top w:val="nil"/>
              <w:left w:val="nil"/>
              <w:bottom w:val="nil"/>
              <w:right w:val="nil"/>
            </w:tcBorders>
            <w:shd w:val="clear"/>
            <w:noWrap/>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bdr w:val="none" w:color="auto" w:sz="0" w:space="0"/>
                <w:lang w:val="en-US" w:eastAsia="zh-CN" w:bidi="ar"/>
              </w:rPr>
              <w:t>作风与纪律</w:t>
            </w:r>
          </w:p>
        </w:tc>
        <w:tc>
          <w:tcPr>
            <w:tcW w:w="798" w:type="pct"/>
            <w:tcBorders>
              <w:top w:val="nil"/>
              <w:left w:val="nil"/>
              <w:bottom w:val="nil"/>
              <w:right w:val="nil"/>
            </w:tcBorders>
            <w:shd w:val="clear"/>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bdr w:val="none" w:color="auto" w:sz="0" w:space="0"/>
                <w:lang w:val="en-US" w:eastAsia="zh-CN" w:bidi="ar"/>
              </w:rPr>
              <w:t>作风与纪律</w:t>
            </w:r>
          </w:p>
        </w:tc>
        <w:tc>
          <w:tcPr>
            <w:tcW w:w="2634" w:type="pct"/>
            <w:tcBorders>
              <w:top w:val="nil"/>
              <w:left w:val="nil"/>
              <w:bottom w:val="nil"/>
              <w:right w:val="nil"/>
            </w:tcBorders>
            <w:shd w:val="clear"/>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规定了教职工行为考核的具体扣分标准，包括师德失范、行政通报批评、党内外警告及更严重处分、考勤问题以及安全责任事故等，各类事件均设有不同的扣分程度。此外，还明确了舆情和意识形态事件的扣分标准。各类事件的考核由人力资源部、保卫部、总务后勤部以及组织宣传统战部等部门负责。</w:t>
            </w:r>
          </w:p>
        </w:tc>
      </w:tr>
      <w:tr>
        <w:trPr>
          <w:trHeight w:val="1680" w:hRule="atLeast"/>
        </w:trPr>
        <w:tc>
          <w:tcPr>
            <w:tcW w:w="798" w:type="pct"/>
            <w:vMerge w:val="continue"/>
            <w:tcBorders>
              <w:top w:val="nil"/>
              <w:left w:val="nil"/>
              <w:bottom w:val="nil"/>
              <w:right w:val="nil"/>
            </w:tcBorders>
            <w:shd w:val="clear"/>
            <w:noWrap/>
            <w:vAlign w:val="center"/>
          </w:tcPr>
          <w:p>
            <w:pPr>
              <w:jc w:val="center"/>
              <w:rPr>
                <w:rFonts w:hint="default" w:ascii="微软雅黑" w:hAnsi="微软雅黑" w:eastAsia="微软雅黑" w:cs="微软雅黑"/>
                <w:i w:val="0"/>
                <w:iCs w:val="0"/>
                <w:color w:val="000000"/>
                <w:sz w:val="22"/>
                <w:szCs w:val="22"/>
                <w:u w:val="none"/>
              </w:rPr>
            </w:pPr>
          </w:p>
        </w:tc>
        <w:tc>
          <w:tcPr>
            <w:tcW w:w="768" w:type="pct"/>
            <w:vMerge w:val="restart"/>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bdr w:val="none" w:color="auto" w:sz="0" w:space="0"/>
                <w:lang w:val="en-US" w:eastAsia="zh-CN" w:bidi="ar"/>
              </w:rPr>
              <w:t>其他</w:t>
            </w:r>
          </w:p>
        </w:tc>
        <w:tc>
          <w:tcPr>
            <w:tcW w:w="798" w:type="pct"/>
            <w:tcBorders>
              <w:top w:val="nil"/>
              <w:left w:val="nil"/>
              <w:bottom w:val="nil"/>
              <w:right w:val="nil"/>
            </w:tcBorders>
            <w:shd w:val="clear"/>
            <w:noWrap/>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bdr w:val="none" w:color="auto" w:sz="0" w:space="0"/>
                <w:lang w:val="en-US" w:eastAsia="zh-CN" w:bidi="ar"/>
              </w:rPr>
              <w:t>社会影响</w:t>
            </w:r>
          </w:p>
        </w:tc>
        <w:tc>
          <w:tcPr>
            <w:tcW w:w="2634" w:type="pct"/>
            <w:tcBorders>
              <w:top w:val="nil"/>
              <w:left w:val="nil"/>
              <w:bottom w:val="nil"/>
              <w:right w:val="nil"/>
            </w:tcBorders>
            <w:shd w:val="clear"/>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新规与旧规的对比分析表明了几个主要修改之处：</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新规中增加了地市级竞赛的提及，计10分/项。</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新旧规中均有提及，国培项目在新规中是20分/项，省培项目是10分/项；而旧规只提及了国培项目计20分/项。</w:t>
            </w:r>
          </w:p>
        </w:tc>
      </w:tr>
      <w:tr>
        <w:trPr>
          <w:trHeight w:val="336" w:hRule="atLeast"/>
        </w:trPr>
        <w:tc>
          <w:tcPr>
            <w:tcW w:w="798" w:type="pct"/>
            <w:tcBorders>
              <w:top w:val="nil"/>
              <w:left w:val="nil"/>
              <w:bottom w:val="nil"/>
              <w:right w:val="nil"/>
            </w:tcBorders>
            <w:shd w:val="clear"/>
            <w:noWrap/>
            <w:vAlign w:val="center"/>
          </w:tcPr>
          <w:p>
            <w:pPr>
              <w:jc w:val="center"/>
              <w:rPr>
                <w:rFonts w:hint="default" w:ascii="微软雅黑" w:hAnsi="微软雅黑" w:eastAsia="微软雅黑" w:cs="微软雅黑"/>
                <w:i w:val="0"/>
                <w:iCs w:val="0"/>
                <w:color w:val="000000"/>
                <w:sz w:val="22"/>
                <w:szCs w:val="22"/>
                <w:u w:val="none"/>
              </w:rPr>
            </w:pPr>
          </w:p>
        </w:tc>
        <w:tc>
          <w:tcPr>
            <w:tcW w:w="768" w:type="pct"/>
            <w:vMerge w:val="continue"/>
            <w:tcBorders>
              <w:top w:val="nil"/>
              <w:left w:val="nil"/>
              <w:bottom w:val="nil"/>
              <w:right w:val="nil"/>
            </w:tcBorders>
            <w:shd w:val="clear"/>
            <w:noWrap/>
            <w:vAlign w:val="center"/>
          </w:tcPr>
          <w:p>
            <w:pPr>
              <w:jc w:val="center"/>
              <w:rPr>
                <w:rFonts w:hint="default" w:ascii="微软雅黑" w:hAnsi="微软雅黑" w:eastAsia="微软雅黑" w:cs="微软雅黑"/>
                <w:i w:val="0"/>
                <w:iCs w:val="0"/>
                <w:color w:val="000000"/>
                <w:sz w:val="22"/>
                <w:szCs w:val="22"/>
                <w:u w:val="none"/>
              </w:rPr>
            </w:pPr>
          </w:p>
        </w:tc>
        <w:tc>
          <w:tcPr>
            <w:tcW w:w="798" w:type="pct"/>
            <w:tcBorders>
              <w:top w:val="nil"/>
              <w:left w:val="nil"/>
              <w:bottom w:val="nil"/>
              <w:right w:val="nil"/>
            </w:tcBorders>
            <w:shd w:val="clear"/>
            <w:noWrap/>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bdr w:val="none" w:color="auto" w:sz="0" w:space="0"/>
                <w:lang w:val="en-US" w:eastAsia="zh-CN" w:bidi="ar"/>
              </w:rPr>
              <w:t>国际交流合作项目(15%)</w:t>
            </w:r>
          </w:p>
        </w:tc>
        <w:tc>
          <w:tcPr>
            <w:tcW w:w="2634" w:type="pct"/>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分数比例有所变化</w:t>
            </w:r>
          </w:p>
        </w:tc>
      </w:tr>
      <w:tr>
        <w:trPr>
          <w:trHeight w:val="3500" w:hRule="atLeast"/>
        </w:trPr>
        <w:tc>
          <w:tcPr>
            <w:tcW w:w="798" w:type="pct"/>
            <w:tcBorders>
              <w:top w:val="nil"/>
              <w:left w:val="nil"/>
              <w:bottom w:val="nil"/>
              <w:right w:val="nil"/>
            </w:tcBorders>
            <w:shd w:val="clear"/>
            <w:noWrap/>
            <w:vAlign w:val="center"/>
          </w:tcPr>
          <w:p>
            <w:pPr>
              <w:jc w:val="center"/>
              <w:rPr>
                <w:rFonts w:hint="default" w:ascii="微软雅黑" w:hAnsi="微软雅黑" w:eastAsia="微软雅黑" w:cs="微软雅黑"/>
                <w:i w:val="0"/>
                <w:iCs w:val="0"/>
                <w:color w:val="000000"/>
                <w:sz w:val="22"/>
                <w:szCs w:val="22"/>
                <w:u w:val="none"/>
              </w:rPr>
            </w:pPr>
          </w:p>
        </w:tc>
        <w:tc>
          <w:tcPr>
            <w:tcW w:w="768" w:type="pct"/>
            <w:vMerge w:val="continue"/>
            <w:tcBorders>
              <w:top w:val="nil"/>
              <w:left w:val="nil"/>
              <w:bottom w:val="nil"/>
              <w:right w:val="nil"/>
            </w:tcBorders>
            <w:shd w:val="clear"/>
            <w:noWrap/>
            <w:vAlign w:val="center"/>
          </w:tcPr>
          <w:p>
            <w:pPr>
              <w:jc w:val="center"/>
              <w:rPr>
                <w:rFonts w:hint="default" w:ascii="微软雅黑" w:hAnsi="微软雅黑" w:eastAsia="微软雅黑" w:cs="微软雅黑"/>
                <w:i w:val="0"/>
                <w:iCs w:val="0"/>
                <w:color w:val="000000"/>
                <w:sz w:val="22"/>
                <w:szCs w:val="22"/>
                <w:u w:val="none"/>
              </w:rPr>
            </w:pPr>
          </w:p>
        </w:tc>
        <w:tc>
          <w:tcPr>
            <w:tcW w:w="798" w:type="pct"/>
            <w:tcBorders>
              <w:top w:val="nil"/>
              <w:left w:val="nil"/>
              <w:bottom w:val="nil"/>
              <w:right w:val="nil"/>
            </w:tcBorders>
            <w:shd w:val="clear"/>
            <w:noWrap/>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bdr w:val="none" w:color="auto" w:sz="0" w:space="0"/>
                <w:lang w:val="en-US" w:eastAsia="zh-CN" w:bidi="ar"/>
              </w:rPr>
              <w:t>教师发展工作</w:t>
            </w:r>
          </w:p>
        </w:tc>
        <w:tc>
          <w:tcPr>
            <w:tcW w:w="2634" w:type="pct"/>
            <w:tcBorders>
              <w:top w:val="nil"/>
              <w:left w:val="nil"/>
              <w:bottom w:val="nil"/>
              <w:right w:val="nil"/>
            </w:tcBorders>
            <w:shd w:val="clear"/>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新规与旧规之间的主要变更如下：</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1. 校本培训：</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 xml:space="preserve">   - 新规将举办计入继续教育学时的校本培训的分数从旧规的20分/项修改为10分/项。</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 国培项目培训参与：</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 xml:space="preserve">   - 新规将参加“职业院校教师素质提高计划”国培项目培训的分数从旧规的10分/学员修改为5分/学员。</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 校级培训专家担任：</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 xml:space="preserve">   - 新规中教师担任校内教学能力提升类培训校级专家的分数为10分/人/次，而旧规中是20分/人/次。</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 教学能力比赛团队指导专家：</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 xml:space="preserve">   - 在新规中，教师担任教学能力比赛团队校级指导专家的分数为10分/人，与旧规中的20分/人相比有所降低</w:t>
            </w:r>
          </w:p>
        </w:tc>
      </w:tr>
      <w:tr>
        <w:trPr>
          <w:trHeight w:val="336" w:hRule="atLeast"/>
        </w:trPr>
        <w:tc>
          <w:tcPr>
            <w:tcW w:w="798" w:type="pct"/>
            <w:tcBorders>
              <w:top w:val="nil"/>
              <w:left w:val="nil"/>
              <w:bottom w:val="nil"/>
              <w:right w:val="nil"/>
            </w:tcBorders>
            <w:shd w:val="clear"/>
            <w:noWrap/>
            <w:vAlign w:val="center"/>
          </w:tcPr>
          <w:p>
            <w:pPr>
              <w:jc w:val="center"/>
              <w:rPr>
                <w:rFonts w:hint="default" w:ascii="微软雅黑" w:hAnsi="微软雅黑" w:eastAsia="微软雅黑" w:cs="微软雅黑"/>
                <w:i w:val="0"/>
                <w:iCs w:val="0"/>
                <w:color w:val="000000"/>
                <w:sz w:val="22"/>
                <w:szCs w:val="22"/>
                <w:u w:val="none"/>
              </w:rPr>
            </w:pPr>
          </w:p>
        </w:tc>
        <w:tc>
          <w:tcPr>
            <w:tcW w:w="768" w:type="pct"/>
            <w:vMerge w:val="continue"/>
            <w:tcBorders>
              <w:top w:val="nil"/>
              <w:left w:val="nil"/>
              <w:bottom w:val="nil"/>
              <w:right w:val="nil"/>
            </w:tcBorders>
            <w:shd w:val="clear"/>
            <w:noWrap/>
            <w:vAlign w:val="center"/>
          </w:tcPr>
          <w:p>
            <w:pPr>
              <w:jc w:val="center"/>
              <w:rPr>
                <w:rFonts w:hint="default" w:ascii="微软雅黑" w:hAnsi="微软雅黑" w:eastAsia="微软雅黑" w:cs="微软雅黑"/>
                <w:i w:val="0"/>
                <w:iCs w:val="0"/>
                <w:color w:val="000000"/>
                <w:sz w:val="22"/>
                <w:szCs w:val="22"/>
                <w:u w:val="none"/>
              </w:rPr>
            </w:pPr>
          </w:p>
        </w:tc>
        <w:tc>
          <w:tcPr>
            <w:tcW w:w="798" w:type="pct"/>
            <w:tcBorders>
              <w:top w:val="nil"/>
              <w:left w:val="nil"/>
              <w:bottom w:val="nil"/>
              <w:right w:val="nil"/>
            </w:tcBorders>
            <w:shd w:val="clear"/>
            <w:noWrap/>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bdr w:val="none" w:color="auto" w:sz="0" w:space="0"/>
                <w:lang w:val="en-US" w:eastAsia="zh-CN" w:bidi="ar"/>
              </w:rPr>
              <w:t>法治工作情况</w:t>
            </w:r>
          </w:p>
        </w:tc>
        <w:tc>
          <w:tcPr>
            <w:tcW w:w="2634" w:type="pct"/>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重视制度建设，遵守法律法规，严格执行学校规章制度，依法依规履行部门职责。由党政办牵头考核。</w:t>
            </w:r>
          </w:p>
        </w:tc>
      </w:tr>
      <w:tr>
        <w:trPr>
          <w:trHeight w:val="340" w:hRule="atLeast"/>
        </w:trPr>
        <w:tc>
          <w:tcPr>
            <w:tcW w:w="798" w:type="pct"/>
            <w:tcBorders>
              <w:top w:val="nil"/>
              <w:left w:val="nil"/>
              <w:bottom w:val="nil"/>
              <w:right w:val="nil"/>
            </w:tcBorders>
            <w:shd w:val="clear"/>
            <w:noWrap/>
            <w:vAlign w:val="center"/>
          </w:tcPr>
          <w:p>
            <w:pPr>
              <w:jc w:val="center"/>
              <w:rPr>
                <w:rFonts w:hint="default" w:ascii="微软雅黑" w:hAnsi="微软雅黑" w:eastAsia="微软雅黑" w:cs="微软雅黑"/>
                <w:i w:val="0"/>
                <w:iCs w:val="0"/>
                <w:color w:val="000000"/>
                <w:sz w:val="22"/>
                <w:szCs w:val="22"/>
                <w:u w:val="none"/>
              </w:rPr>
            </w:pPr>
          </w:p>
        </w:tc>
        <w:tc>
          <w:tcPr>
            <w:tcW w:w="768" w:type="pct"/>
            <w:vMerge w:val="continue"/>
            <w:tcBorders>
              <w:top w:val="nil"/>
              <w:left w:val="nil"/>
              <w:bottom w:val="nil"/>
              <w:right w:val="nil"/>
            </w:tcBorders>
            <w:shd w:val="clear"/>
            <w:noWrap/>
            <w:vAlign w:val="center"/>
          </w:tcPr>
          <w:p>
            <w:pPr>
              <w:jc w:val="center"/>
              <w:rPr>
                <w:rFonts w:hint="default" w:ascii="微软雅黑" w:hAnsi="微软雅黑" w:eastAsia="微软雅黑" w:cs="微软雅黑"/>
                <w:i w:val="0"/>
                <w:iCs w:val="0"/>
                <w:color w:val="000000"/>
                <w:sz w:val="22"/>
                <w:szCs w:val="22"/>
                <w:u w:val="none"/>
              </w:rPr>
            </w:pPr>
          </w:p>
        </w:tc>
        <w:tc>
          <w:tcPr>
            <w:tcW w:w="798" w:type="pct"/>
            <w:tcBorders>
              <w:top w:val="nil"/>
              <w:left w:val="nil"/>
              <w:bottom w:val="nil"/>
              <w:right w:val="nil"/>
            </w:tcBorders>
            <w:shd w:val="clear"/>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bdr w:val="none" w:color="auto" w:sz="0" w:space="0"/>
                <w:lang w:val="en-US" w:eastAsia="zh-CN" w:bidi="ar"/>
              </w:rPr>
              <w:t>预算综合考核</w:t>
            </w:r>
          </w:p>
        </w:tc>
        <w:tc>
          <w:tcPr>
            <w:tcW w:w="2634" w:type="pct"/>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内容不变</w:t>
            </w:r>
          </w:p>
        </w:tc>
      </w:tr>
      <w:tr>
        <w:trPr>
          <w:trHeight w:val="336" w:hRule="atLeast"/>
        </w:trPr>
        <w:tc>
          <w:tcPr>
            <w:tcW w:w="798" w:type="pct"/>
            <w:tcBorders>
              <w:top w:val="nil"/>
              <w:left w:val="nil"/>
              <w:bottom w:val="nil"/>
              <w:right w:val="nil"/>
            </w:tcBorders>
            <w:shd w:val="clear"/>
            <w:noWrap/>
            <w:vAlign w:val="center"/>
          </w:tcPr>
          <w:p>
            <w:pPr>
              <w:jc w:val="center"/>
              <w:rPr>
                <w:rFonts w:hint="default" w:ascii="微软雅黑" w:hAnsi="微软雅黑" w:eastAsia="微软雅黑" w:cs="微软雅黑"/>
                <w:i w:val="0"/>
                <w:iCs w:val="0"/>
                <w:color w:val="000000"/>
                <w:sz w:val="22"/>
                <w:szCs w:val="22"/>
                <w:u w:val="none"/>
              </w:rPr>
            </w:pPr>
          </w:p>
        </w:tc>
        <w:tc>
          <w:tcPr>
            <w:tcW w:w="768" w:type="pct"/>
            <w:vMerge w:val="continue"/>
            <w:tcBorders>
              <w:top w:val="nil"/>
              <w:left w:val="nil"/>
              <w:bottom w:val="nil"/>
              <w:right w:val="nil"/>
            </w:tcBorders>
            <w:shd w:val="clear"/>
            <w:noWrap/>
            <w:vAlign w:val="center"/>
          </w:tcPr>
          <w:p>
            <w:pPr>
              <w:jc w:val="center"/>
              <w:rPr>
                <w:rFonts w:hint="default" w:ascii="微软雅黑" w:hAnsi="微软雅黑" w:eastAsia="微软雅黑" w:cs="微软雅黑"/>
                <w:i w:val="0"/>
                <w:iCs w:val="0"/>
                <w:color w:val="000000"/>
                <w:sz w:val="22"/>
                <w:szCs w:val="22"/>
                <w:u w:val="none"/>
              </w:rPr>
            </w:pPr>
          </w:p>
        </w:tc>
        <w:tc>
          <w:tcPr>
            <w:tcW w:w="798" w:type="pct"/>
            <w:tcBorders>
              <w:top w:val="nil"/>
              <w:left w:val="nil"/>
              <w:bottom w:val="nil"/>
              <w:right w:val="nil"/>
            </w:tcBorders>
            <w:shd w:val="clear"/>
            <w:noWrap/>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bdr w:val="none" w:color="auto" w:sz="0" w:space="0"/>
                <w:lang w:val="en-US" w:eastAsia="zh-CN" w:bidi="ar"/>
              </w:rPr>
              <w:t>征兵工作</w:t>
            </w:r>
          </w:p>
        </w:tc>
        <w:tc>
          <w:tcPr>
            <w:tcW w:w="2634" w:type="pct"/>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“上站体检人数”和“征兵任务完成情况”，由保卫部牵头考核</w:t>
            </w:r>
          </w:p>
        </w:tc>
      </w:tr>
      <w:tr>
        <w:trPr>
          <w:trHeight w:val="680" w:hRule="atLeast"/>
        </w:trPr>
        <w:tc>
          <w:tcPr>
            <w:tcW w:w="798" w:type="pct"/>
            <w:tcBorders>
              <w:top w:val="nil"/>
              <w:left w:val="nil"/>
              <w:bottom w:val="nil"/>
              <w:right w:val="nil"/>
            </w:tcBorders>
            <w:shd w:val="clear"/>
            <w:noWrap/>
            <w:vAlign w:val="center"/>
          </w:tcPr>
          <w:p>
            <w:pPr>
              <w:jc w:val="center"/>
              <w:rPr>
                <w:rFonts w:hint="default" w:ascii="微软雅黑" w:hAnsi="微软雅黑" w:eastAsia="微软雅黑" w:cs="微软雅黑"/>
                <w:i w:val="0"/>
                <w:iCs w:val="0"/>
                <w:color w:val="000000"/>
                <w:sz w:val="22"/>
                <w:szCs w:val="22"/>
                <w:u w:val="none"/>
              </w:rPr>
            </w:pPr>
          </w:p>
        </w:tc>
        <w:tc>
          <w:tcPr>
            <w:tcW w:w="768" w:type="pct"/>
            <w:vMerge w:val="continue"/>
            <w:tcBorders>
              <w:top w:val="nil"/>
              <w:left w:val="nil"/>
              <w:bottom w:val="nil"/>
              <w:right w:val="nil"/>
            </w:tcBorders>
            <w:shd w:val="clear"/>
            <w:noWrap/>
            <w:vAlign w:val="center"/>
          </w:tcPr>
          <w:p>
            <w:pPr>
              <w:jc w:val="center"/>
              <w:rPr>
                <w:rFonts w:hint="default" w:ascii="微软雅黑" w:hAnsi="微软雅黑" w:eastAsia="微软雅黑" w:cs="微软雅黑"/>
                <w:i w:val="0"/>
                <w:iCs w:val="0"/>
                <w:color w:val="000000"/>
                <w:sz w:val="22"/>
                <w:szCs w:val="22"/>
                <w:u w:val="none"/>
              </w:rPr>
            </w:pPr>
          </w:p>
        </w:tc>
        <w:tc>
          <w:tcPr>
            <w:tcW w:w="798" w:type="pct"/>
            <w:tcBorders>
              <w:top w:val="nil"/>
              <w:left w:val="nil"/>
              <w:bottom w:val="nil"/>
              <w:right w:val="nil"/>
            </w:tcBorders>
            <w:shd w:val="clear"/>
            <w:noWrap/>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bdr w:val="none" w:color="auto" w:sz="0" w:space="0"/>
                <w:lang w:val="en-US" w:eastAsia="zh-CN" w:bidi="ar"/>
              </w:rPr>
              <w:t xml:space="preserve">诊改工作 </w:t>
            </w:r>
          </w:p>
        </w:tc>
        <w:tc>
          <w:tcPr>
            <w:tcW w:w="2634" w:type="pct"/>
            <w:tcBorders>
              <w:top w:val="nil"/>
              <w:left w:val="nil"/>
              <w:bottom w:val="nil"/>
              <w:right w:val="nil"/>
            </w:tcBorders>
            <w:shd w:val="clear"/>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考核上一年度，使用学校诊改平台开展学院、专业、课程、教师、学生等层面诊断和改进工作及成效，由质量管理研究中心牵头考核。</w:t>
            </w:r>
          </w:p>
        </w:tc>
      </w:tr>
      <w:tr>
        <w:trPr>
          <w:trHeight w:val="340" w:hRule="atLeast"/>
        </w:trPr>
        <w:tc>
          <w:tcPr>
            <w:tcW w:w="798" w:type="pct"/>
            <w:vMerge w:val="restart"/>
            <w:tcBorders>
              <w:top w:val="nil"/>
              <w:left w:val="nil"/>
              <w:bottom w:val="nil"/>
              <w:right w:val="nil"/>
            </w:tcBorders>
            <w:shd w:val="clear"/>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bdr w:val="none" w:color="auto" w:sz="0" w:space="0"/>
                <w:lang w:val="en-US" w:eastAsia="zh-CN" w:bidi="ar"/>
              </w:rPr>
              <w:t>党政职能、教辅部门绩效考核计分表</w:t>
            </w:r>
          </w:p>
        </w:tc>
        <w:tc>
          <w:tcPr>
            <w:tcW w:w="768" w:type="pct"/>
            <w:tcBorders>
              <w:top w:val="nil"/>
              <w:left w:val="nil"/>
              <w:bottom w:val="nil"/>
              <w:right w:val="nil"/>
            </w:tcBorders>
            <w:shd w:val="clear"/>
            <w:noWrap/>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bdr w:val="none" w:color="auto" w:sz="0" w:space="0"/>
                <w:lang w:val="en-US" w:eastAsia="zh-CN" w:bidi="ar"/>
              </w:rPr>
              <w:t>党建工作与作风纪律</w:t>
            </w:r>
          </w:p>
        </w:tc>
        <w:tc>
          <w:tcPr>
            <w:tcW w:w="798" w:type="pct"/>
            <w:tcBorders>
              <w:top w:val="nil"/>
              <w:left w:val="nil"/>
              <w:bottom w:val="nil"/>
              <w:right w:val="nil"/>
            </w:tcBorders>
            <w:shd w:val="clear"/>
            <w:noWrap/>
            <w:vAlign w:val="center"/>
          </w:tcPr>
          <w:p>
            <w:pPr>
              <w:rPr>
                <w:rFonts w:hint="default" w:ascii="微软雅黑" w:hAnsi="微软雅黑" w:eastAsia="微软雅黑" w:cs="微软雅黑"/>
                <w:i w:val="0"/>
                <w:iCs w:val="0"/>
                <w:color w:val="000000"/>
                <w:sz w:val="22"/>
                <w:szCs w:val="22"/>
                <w:u w:val="none"/>
              </w:rPr>
            </w:pPr>
          </w:p>
        </w:tc>
        <w:tc>
          <w:tcPr>
            <w:tcW w:w="2634" w:type="pct"/>
            <w:tcBorders>
              <w:top w:val="nil"/>
              <w:left w:val="nil"/>
              <w:bottom w:val="nil"/>
              <w:right w:val="nil"/>
            </w:tcBorders>
            <w:shd w:val="clear"/>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增加制度建设，作风建设</w:t>
            </w:r>
          </w:p>
        </w:tc>
      </w:tr>
      <w:tr>
        <w:trPr>
          <w:trHeight w:val="720" w:hRule="atLeast"/>
        </w:trPr>
        <w:tc>
          <w:tcPr>
            <w:tcW w:w="798" w:type="pct"/>
            <w:vMerge w:val="continue"/>
            <w:tcBorders>
              <w:top w:val="nil"/>
              <w:left w:val="nil"/>
              <w:bottom w:val="nil"/>
              <w:right w:val="nil"/>
            </w:tcBorders>
            <w:shd w:val="clear"/>
            <w:noWrap/>
            <w:vAlign w:val="center"/>
          </w:tcPr>
          <w:p>
            <w:pPr>
              <w:jc w:val="center"/>
              <w:rPr>
                <w:rFonts w:hint="default" w:ascii="微软雅黑" w:hAnsi="微软雅黑" w:eastAsia="微软雅黑" w:cs="微软雅黑"/>
                <w:i w:val="0"/>
                <w:iCs w:val="0"/>
                <w:color w:val="000000"/>
                <w:sz w:val="22"/>
                <w:szCs w:val="22"/>
                <w:u w:val="none"/>
              </w:rPr>
            </w:pPr>
          </w:p>
        </w:tc>
        <w:tc>
          <w:tcPr>
            <w:tcW w:w="768" w:type="pct"/>
            <w:tcBorders>
              <w:top w:val="nil"/>
              <w:left w:val="nil"/>
              <w:bottom w:val="nil"/>
              <w:right w:val="nil"/>
            </w:tcBorders>
            <w:shd w:val="clear"/>
            <w:noWrap/>
            <w:vAlign w:val="bottom"/>
          </w:tcPr>
          <w:p>
            <w:pPr>
              <w:keepNext w:val="0"/>
              <w:keepLines w:val="0"/>
              <w:widowControl/>
              <w:suppressLineNumbers w:val="0"/>
              <w:jc w:val="left"/>
              <w:textAlignment w:val="center"/>
              <w:rPr>
                <w:rFonts w:hint="default" w:ascii="仿宋" w:hAnsi="仿宋" w:eastAsia="仿宋" w:cs="仿宋"/>
                <w:i w:val="0"/>
                <w:iCs w:val="0"/>
                <w:color w:val="000000"/>
                <w:sz w:val="24"/>
                <w:szCs w:val="24"/>
                <w:u w:val="none"/>
              </w:rPr>
            </w:pPr>
            <w:r>
              <w:rPr>
                <w:rFonts w:hint="default" w:ascii="微软雅黑" w:hAnsi="微软雅黑" w:eastAsia="微软雅黑" w:cs="微软雅黑"/>
                <w:i w:val="0"/>
                <w:iCs w:val="0"/>
                <w:color w:val="000000"/>
                <w:kern w:val="0"/>
                <w:sz w:val="22"/>
                <w:szCs w:val="22"/>
                <w:u w:val="none"/>
                <w:lang w:val="en-US" w:eastAsia="zh-CN" w:bidi="ar"/>
              </w:rPr>
              <w:t>工作态度、工作质量、履职情况</w:t>
            </w:r>
          </w:p>
        </w:tc>
        <w:tc>
          <w:tcPr>
            <w:tcW w:w="798" w:type="pct"/>
            <w:tcBorders>
              <w:top w:val="nil"/>
              <w:left w:val="nil"/>
              <w:bottom w:val="nil"/>
              <w:right w:val="nil"/>
            </w:tcBorders>
            <w:shd w:val="clear"/>
            <w:noWrap/>
            <w:vAlign w:val="center"/>
          </w:tcPr>
          <w:p>
            <w:pPr>
              <w:rPr>
                <w:rFonts w:hint="default" w:ascii="微软雅黑" w:hAnsi="微软雅黑" w:eastAsia="微软雅黑" w:cs="微软雅黑"/>
                <w:i w:val="0"/>
                <w:iCs w:val="0"/>
                <w:color w:val="000000"/>
                <w:sz w:val="22"/>
                <w:szCs w:val="22"/>
                <w:u w:val="none"/>
              </w:rPr>
            </w:pPr>
          </w:p>
        </w:tc>
        <w:tc>
          <w:tcPr>
            <w:tcW w:w="2634" w:type="pct"/>
            <w:tcBorders>
              <w:top w:val="nil"/>
              <w:left w:val="nil"/>
              <w:bottom w:val="nil"/>
              <w:right w:val="nil"/>
            </w:tcBorders>
            <w:shd w:val="clear"/>
            <w:noWrap/>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修改了2.1贯彻落实上级的决策部署，增加了部门工作业绩</w:t>
            </w:r>
          </w:p>
        </w:tc>
      </w:tr>
      <w:tr>
        <w:trPr>
          <w:trHeight w:val="340" w:hRule="atLeast"/>
        </w:trPr>
        <w:tc>
          <w:tcPr>
            <w:tcW w:w="798" w:type="pct"/>
            <w:vMerge w:val="continue"/>
            <w:tcBorders>
              <w:top w:val="nil"/>
              <w:left w:val="nil"/>
              <w:bottom w:val="nil"/>
              <w:right w:val="nil"/>
            </w:tcBorders>
            <w:shd w:val="clear"/>
            <w:noWrap/>
            <w:vAlign w:val="center"/>
          </w:tcPr>
          <w:p>
            <w:pPr>
              <w:jc w:val="center"/>
              <w:rPr>
                <w:rFonts w:hint="default" w:ascii="微软雅黑" w:hAnsi="微软雅黑" w:eastAsia="微软雅黑" w:cs="微软雅黑"/>
                <w:i w:val="0"/>
                <w:iCs w:val="0"/>
                <w:color w:val="000000"/>
                <w:sz w:val="22"/>
                <w:szCs w:val="22"/>
                <w:u w:val="none"/>
              </w:rPr>
            </w:pPr>
          </w:p>
        </w:tc>
        <w:tc>
          <w:tcPr>
            <w:tcW w:w="768" w:type="pct"/>
            <w:tcBorders>
              <w:top w:val="nil"/>
              <w:left w:val="nil"/>
              <w:bottom w:val="nil"/>
              <w:right w:val="nil"/>
            </w:tcBorders>
            <w:shd w:val="clear"/>
            <w:noWrap/>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bdr w:val="none" w:color="auto" w:sz="0" w:space="0"/>
                <w:lang w:val="en-US" w:eastAsia="zh-CN" w:bidi="ar"/>
              </w:rPr>
              <w:t>安全管理</w:t>
            </w:r>
          </w:p>
        </w:tc>
        <w:tc>
          <w:tcPr>
            <w:tcW w:w="798" w:type="pct"/>
            <w:tcBorders>
              <w:top w:val="nil"/>
              <w:left w:val="nil"/>
              <w:bottom w:val="nil"/>
              <w:right w:val="nil"/>
            </w:tcBorders>
            <w:shd w:val="clear"/>
            <w:vAlign w:val="bottom"/>
          </w:tcPr>
          <w:p>
            <w:pPr>
              <w:rPr>
                <w:rFonts w:hint="eastAsia" w:ascii="宋体" w:hAnsi="宋体" w:eastAsia="宋体" w:cs="宋体"/>
                <w:i w:val="0"/>
                <w:iCs w:val="0"/>
                <w:color w:val="000000"/>
                <w:sz w:val="22"/>
                <w:szCs w:val="22"/>
                <w:u w:val="none"/>
              </w:rPr>
            </w:pPr>
          </w:p>
        </w:tc>
        <w:tc>
          <w:tcPr>
            <w:tcW w:w="2634" w:type="pct"/>
            <w:tcBorders>
              <w:top w:val="nil"/>
              <w:left w:val="nil"/>
              <w:bottom w:val="nil"/>
              <w:right w:val="nil"/>
            </w:tcBorders>
            <w:shd w:val="clear"/>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删除了“防疫工作”考核项目</w:t>
            </w:r>
          </w:p>
        </w:tc>
      </w:tr>
      <w:tr>
        <w:trPr>
          <w:trHeight w:val="3040" w:hRule="atLeast"/>
        </w:trPr>
        <w:tc>
          <w:tcPr>
            <w:tcW w:w="798" w:type="pct"/>
            <w:vMerge w:val="continue"/>
            <w:tcBorders>
              <w:top w:val="nil"/>
              <w:left w:val="nil"/>
              <w:bottom w:val="nil"/>
              <w:right w:val="nil"/>
            </w:tcBorders>
            <w:shd w:val="clear"/>
            <w:noWrap/>
            <w:vAlign w:val="center"/>
          </w:tcPr>
          <w:p>
            <w:pPr>
              <w:jc w:val="center"/>
              <w:rPr>
                <w:rFonts w:hint="default" w:ascii="微软雅黑" w:hAnsi="微软雅黑" w:eastAsia="微软雅黑" w:cs="微软雅黑"/>
                <w:i w:val="0"/>
                <w:iCs w:val="0"/>
                <w:color w:val="000000"/>
                <w:sz w:val="22"/>
                <w:szCs w:val="22"/>
                <w:u w:val="none"/>
              </w:rPr>
            </w:pPr>
          </w:p>
        </w:tc>
        <w:tc>
          <w:tcPr>
            <w:tcW w:w="768" w:type="pct"/>
            <w:tcBorders>
              <w:top w:val="nil"/>
              <w:left w:val="nil"/>
              <w:bottom w:val="nil"/>
              <w:right w:val="nil"/>
            </w:tcBorders>
            <w:shd w:val="clear"/>
            <w:noWrap/>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bdr w:val="none" w:color="auto" w:sz="0" w:space="0"/>
                <w:lang w:val="en-US" w:eastAsia="zh-CN" w:bidi="ar"/>
              </w:rPr>
              <w:t>党建工作</w:t>
            </w:r>
          </w:p>
        </w:tc>
        <w:tc>
          <w:tcPr>
            <w:tcW w:w="798" w:type="pct"/>
            <w:tcBorders>
              <w:top w:val="nil"/>
              <w:left w:val="nil"/>
              <w:bottom w:val="nil"/>
              <w:right w:val="nil"/>
            </w:tcBorders>
            <w:shd w:val="clear"/>
            <w:noWrap/>
            <w:vAlign w:val="center"/>
          </w:tcPr>
          <w:p>
            <w:pPr>
              <w:rPr>
                <w:rFonts w:hint="default" w:ascii="微软雅黑" w:hAnsi="微软雅黑" w:eastAsia="微软雅黑" w:cs="微软雅黑"/>
                <w:i w:val="0"/>
                <w:iCs w:val="0"/>
                <w:color w:val="000000"/>
                <w:sz w:val="22"/>
                <w:szCs w:val="22"/>
                <w:u w:val="none"/>
              </w:rPr>
            </w:pPr>
          </w:p>
        </w:tc>
        <w:tc>
          <w:tcPr>
            <w:tcW w:w="2634" w:type="pct"/>
            <w:tcBorders>
              <w:top w:val="nil"/>
              <w:left w:val="nil"/>
              <w:bottom w:val="nil"/>
              <w:right w:val="nil"/>
            </w:tcBorders>
            <w:shd w:val="clear"/>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新规与旧规的比较显示出以下修改：</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党建类论文发表：</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新规增加了在公开刊物上发表党建类论文的加分项，每篇论文加0.5分，这一条在旧规中没有。</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基层党建经验信息稿或经验发言：</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新规中提到，在指定的重要媒体上刊登的重要基层党建经验信息稿或在省委组织的会议上作基层党建经验发言的加分，每篇或每次加1分。这一点在旧规中未提及。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案例、征文、党课等评选、比赛奖项：</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新规中对获得党建类案例、征文、党课等评选、比赛奖项的加分项进行了说明，这一点在旧规中没有明确。</w:t>
            </w:r>
          </w:p>
        </w:tc>
      </w:tr>
      <w:tr>
        <w:trPr>
          <w:trHeight w:val="340" w:hRule="atLeast"/>
        </w:trPr>
        <w:tc>
          <w:tcPr>
            <w:tcW w:w="798" w:type="pct"/>
            <w:vMerge w:val="continue"/>
            <w:tcBorders>
              <w:top w:val="nil"/>
              <w:left w:val="nil"/>
              <w:bottom w:val="nil"/>
              <w:right w:val="nil"/>
            </w:tcBorders>
            <w:shd w:val="clear"/>
            <w:noWrap/>
            <w:vAlign w:val="center"/>
          </w:tcPr>
          <w:p>
            <w:pPr>
              <w:jc w:val="center"/>
              <w:rPr>
                <w:rFonts w:hint="default" w:ascii="微软雅黑" w:hAnsi="微软雅黑" w:eastAsia="微软雅黑" w:cs="微软雅黑"/>
                <w:i w:val="0"/>
                <w:iCs w:val="0"/>
                <w:color w:val="000000"/>
                <w:sz w:val="22"/>
                <w:szCs w:val="22"/>
                <w:u w:val="none"/>
              </w:rPr>
            </w:pPr>
          </w:p>
        </w:tc>
        <w:tc>
          <w:tcPr>
            <w:tcW w:w="768" w:type="pct"/>
            <w:tcBorders>
              <w:top w:val="nil"/>
              <w:left w:val="nil"/>
              <w:bottom w:val="nil"/>
              <w:right w:val="nil"/>
            </w:tcBorders>
            <w:shd w:val="clear"/>
            <w:noWrap/>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bdr w:val="none" w:color="auto" w:sz="0" w:space="0"/>
                <w:lang w:val="en-US" w:eastAsia="zh-CN" w:bidi="ar"/>
              </w:rPr>
              <w:t>业务工作</w:t>
            </w:r>
          </w:p>
        </w:tc>
        <w:tc>
          <w:tcPr>
            <w:tcW w:w="798" w:type="pct"/>
            <w:tcBorders>
              <w:top w:val="nil"/>
              <w:left w:val="nil"/>
              <w:bottom w:val="nil"/>
              <w:right w:val="nil"/>
            </w:tcBorders>
            <w:shd w:val="clear"/>
            <w:noWrap/>
            <w:vAlign w:val="center"/>
          </w:tcPr>
          <w:p>
            <w:pPr>
              <w:rPr>
                <w:rFonts w:hint="default" w:ascii="微软雅黑" w:hAnsi="微软雅黑" w:eastAsia="微软雅黑" w:cs="微软雅黑"/>
                <w:i w:val="0"/>
                <w:iCs w:val="0"/>
                <w:color w:val="000000"/>
                <w:sz w:val="22"/>
                <w:szCs w:val="22"/>
                <w:u w:val="none"/>
              </w:rPr>
            </w:pPr>
          </w:p>
        </w:tc>
        <w:tc>
          <w:tcPr>
            <w:tcW w:w="2634" w:type="pct"/>
            <w:tcBorders>
              <w:top w:val="nil"/>
              <w:left w:val="nil"/>
              <w:bottom w:val="nil"/>
              <w:right w:val="nil"/>
            </w:tcBorders>
            <w:shd w:val="clear"/>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新增“内部控制”计分项目相关内容</w:t>
            </w:r>
          </w:p>
        </w:tc>
      </w:tr>
      <w:tr>
        <w:trPr>
          <w:trHeight w:val="340" w:hRule="atLeast"/>
        </w:trPr>
        <w:tc>
          <w:tcPr>
            <w:tcW w:w="798" w:type="pct"/>
            <w:vMerge w:val="continue"/>
            <w:tcBorders>
              <w:top w:val="nil"/>
              <w:left w:val="nil"/>
              <w:bottom w:val="nil"/>
              <w:right w:val="nil"/>
            </w:tcBorders>
            <w:shd w:val="clear"/>
            <w:noWrap/>
            <w:vAlign w:val="center"/>
          </w:tcPr>
          <w:p>
            <w:pPr>
              <w:jc w:val="center"/>
              <w:rPr>
                <w:rFonts w:hint="default" w:ascii="微软雅黑" w:hAnsi="微软雅黑" w:eastAsia="微软雅黑" w:cs="微软雅黑"/>
                <w:i w:val="0"/>
                <w:iCs w:val="0"/>
                <w:color w:val="000000"/>
                <w:sz w:val="22"/>
                <w:szCs w:val="22"/>
                <w:u w:val="none"/>
              </w:rPr>
            </w:pPr>
          </w:p>
        </w:tc>
        <w:tc>
          <w:tcPr>
            <w:tcW w:w="768" w:type="pct"/>
            <w:tcBorders>
              <w:top w:val="nil"/>
              <w:left w:val="nil"/>
              <w:bottom w:val="nil"/>
              <w:right w:val="nil"/>
            </w:tcBorders>
            <w:shd w:val="clear"/>
            <w:noWrap/>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bdr w:val="none" w:color="auto" w:sz="0" w:space="0"/>
                <w:lang w:val="en-US" w:eastAsia="zh-CN" w:bidi="ar"/>
              </w:rPr>
              <w:t>工作业绩</w:t>
            </w:r>
          </w:p>
        </w:tc>
        <w:tc>
          <w:tcPr>
            <w:tcW w:w="798" w:type="pct"/>
            <w:tcBorders>
              <w:top w:val="nil"/>
              <w:left w:val="nil"/>
              <w:bottom w:val="nil"/>
              <w:right w:val="nil"/>
            </w:tcBorders>
            <w:shd w:val="clear"/>
            <w:noWrap/>
            <w:vAlign w:val="center"/>
          </w:tcPr>
          <w:p>
            <w:pPr>
              <w:rPr>
                <w:rFonts w:hint="default" w:ascii="微软雅黑" w:hAnsi="微软雅黑" w:eastAsia="微软雅黑" w:cs="微软雅黑"/>
                <w:i w:val="0"/>
                <w:iCs w:val="0"/>
                <w:color w:val="000000"/>
                <w:sz w:val="22"/>
                <w:szCs w:val="22"/>
                <w:u w:val="none"/>
              </w:rPr>
            </w:pPr>
          </w:p>
        </w:tc>
        <w:tc>
          <w:tcPr>
            <w:tcW w:w="2634" w:type="pct"/>
            <w:tcBorders>
              <w:top w:val="nil"/>
              <w:left w:val="nil"/>
              <w:bottom w:val="nil"/>
              <w:right w:val="nil"/>
            </w:tcBorders>
            <w:shd w:val="clear"/>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删除了“防疫获奖情况”考核项目</w:t>
            </w:r>
          </w:p>
        </w:tc>
      </w:tr>
      <w:tr>
        <w:trPr>
          <w:trHeight w:val="336" w:hRule="atLeast"/>
        </w:trPr>
        <w:tc>
          <w:tcPr>
            <w:tcW w:w="798" w:type="pct"/>
            <w:vMerge w:val="continue"/>
            <w:tcBorders>
              <w:top w:val="nil"/>
              <w:left w:val="nil"/>
              <w:bottom w:val="nil"/>
              <w:right w:val="nil"/>
            </w:tcBorders>
            <w:shd w:val="clear"/>
            <w:noWrap/>
            <w:vAlign w:val="center"/>
          </w:tcPr>
          <w:p>
            <w:pPr>
              <w:jc w:val="center"/>
              <w:rPr>
                <w:rFonts w:hint="default" w:ascii="微软雅黑" w:hAnsi="微软雅黑" w:eastAsia="微软雅黑" w:cs="微软雅黑"/>
                <w:i w:val="0"/>
                <w:iCs w:val="0"/>
                <w:color w:val="000000"/>
                <w:sz w:val="22"/>
                <w:szCs w:val="22"/>
                <w:u w:val="none"/>
              </w:rPr>
            </w:pPr>
          </w:p>
        </w:tc>
        <w:tc>
          <w:tcPr>
            <w:tcW w:w="768" w:type="pct"/>
            <w:tcBorders>
              <w:top w:val="nil"/>
              <w:left w:val="nil"/>
              <w:bottom w:val="nil"/>
              <w:right w:val="nil"/>
            </w:tcBorders>
            <w:shd w:val="clear"/>
            <w:noWrap/>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bdr w:val="none" w:color="auto" w:sz="0" w:space="0"/>
                <w:lang w:val="en-US" w:eastAsia="zh-CN" w:bidi="ar"/>
              </w:rPr>
              <w:t>承担重大任务</w:t>
            </w:r>
          </w:p>
        </w:tc>
        <w:tc>
          <w:tcPr>
            <w:tcW w:w="798" w:type="pct"/>
            <w:tcBorders>
              <w:top w:val="nil"/>
              <w:left w:val="nil"/>
              <w:bottom w:val="nil"/>
              <w:right w:val="nil"/>
            </w:tcBorders>
            <w:shd w:val="clear"/>
            <w:noWrap/>
            <w:vAlign w:val="center"/>
          </w:tcPr>
          <w:p>
            <w:pPr>
              <w:rPr>
                <w:rFonts w:hint="default" w:ascii="微软雅黑" w:hAnsi="微软雅黑" w:eastAsia="微软雅黑" w:cs="微软雅黑"/>
                <w:i w:val="0"/>
                <w:iCs w:val="0"/>
                <w:color w:val="000000"/>
                <w:sz w:val="22"/>
                <w:szCs w:val="22"/>
                <w:u w:val="none"/>
              </w:rPr>
            </w:pPr>
          </w:p>
        </w:tc>
        <w:tc>
          <w:tcPr>
            <w:tcW w:w="2634" w:type="pct"/>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新增模块</w:t>
            </w:r>
          </w:p>
        </w:tc>
      </w:tr>
      <w:tr>
        <w:trPr>
          <w:trHeight w:val="336" w:hRule="atLeast"/>
        </w:trPr>
        <w:tc>
          <w:tcPr>
            <w:tcW w:w="798" w:type="pct"/>
            <w:vMerge w:val="continue"/>
            <w:tcBorders>
              <w:top w:val="nil"/>
              <w:left w:val="nil"/>
              <w:bottom w:val="nil"/>
              <w:right w:val="nil"/>
            </w:tcBorders>
            <w:shd w:val="clear"/>
            <w:noWrap/>
            <w:vAlign w:val="center"/>
          </w:tcPr>
          <w:p>
            <w:pPr>
              <w:jc w:val="center"/>
              <w:rPr>
                <w:rFonts w:hint="default" w:ascii="微软雅黑" w:hAnsi="微软雅黑" w:eastAsia="微软雅黑" w:cs="微软雅黑"/>
                <w:i w:val="0"/>
                <w:iCs w:val="0"/>
                <w:color w:val="000000"/>
                <w:sz w:val="22"/>
                <w:szCs w:val="22"/>
                <w:u w:val="none"/>
              </w:rPr>
            </w:pPr>
          </w:p>
        </w:tc>
        <w:tc>
          <w:tcPr>
            <w:tcW w:w="768" w:type="pct"/>
            <w:tcBorders>
              <w:top w:val="nil"/>
              <w:left w:val="nil"/>
              <w:bottom w:val="nil"/>
              <w:right w:val="nil"/>
            </w:tcBorders>
            <w:shd w:val="clear"/>
            <w:noWrap/>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bdr w:val="none" w:color="auto" w:sz="0" w:space="0"/>
                <w:lang w:val="en-US" w:eastAsia="zh-CN" w:bidi="ar"/>
              </w:rPr>
              <w:t>扣分</w:t>
            </w:r>
          </w:p>
        </w:tc>
        <w:tc>
          <w:tcPr>
            <w:tcW w:w="798" w:type="pct"/>
            <w:tcBorders>
              <w:top w:val="nil"/>
              <w:left w:val="nil"/>
              <w:bottom w:val="nil"/>
              <w:right w:val="nil"/>
            </w:tcBorders>
            <w:shd w:val="clear"/>
            <w:noWrap/>
            <w:vAlign w:val="center"/>
          </w:tcPr>
          <w:p>
            <w:pPr>
              <w:rPr>
                <w:rFonts w:hint="default" w:ascii="微软雅黑" w:hAnsi="微软雅黑" w:eastAsia="微软雅黑" w:cs="微软雅黑"/>
                <w:i w:val="0"/>
                <w:iCs w:val="0"/>
                <w:color w:val="000000"/>
                <w:sz w:val="22"/>
                <w:szCs w:val="22"/>
                <w:u w:val="none"/>
              </w:rPr>
            </w:pPr>
          </w:p>
        </w:tc>
        <w:tc>
          <w:tcPr>
            <w:tcW w:w="2634" w:type="pct"/>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调整考核项目名称：3.1廉政违纪违规，3.2行政违纪违规</w:t>
            </w:r>
          </w:p>
        </w:tc>
      </w:tr>
    </w:tbl>
    <w:p>
      <w:pPr>
        <w:pStyle w:val="7"/>
        <w:numPr>
          <w:numId w:val="0"/>
        </w:numPr>
        <w:spacing w:line="360" w:lineRule="auto"/>
        <w:ind w:leftChars="0"/>
        <w:outlineLvl w:val="0"/>
        <w:rPr>
          <w:rFonts w:hint="eastAsia" w:eastAsia="仿宋"/>
          <w:b/>
          <w:spacing w:val="0"/>
          <w:kern w:val="44"/>
          <w:sz w:val="32"/>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
    <w:altName w:val="方正仿宋_GBK"/>
    <w:panose1 w:val="02010609060101010101"/>
    <w:charset w:val="86"/>
    <w:family w:val="modern"/>
    <w:pitch w:val="default"/>
    <w:sig w:usb0="00000000" w:usb1="00000000" w:usb2="00000016" w:usb3="00000000" w:csb0="00040001" w:csb1="00000000"/>
  </w:font>
  <w:font w:name="汉仪中等线KW">
    <w:panose1 w:val="01010104010101010101"/>
    <w:charset w:val="86"/>
    <w:family w:val="auto"/>
    <w:pitch w:val="default"/>
    <w:sig w:usb0="800002BF" w:usb1="004F7CFA" w:usb2="00000000"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微软雅黑">
    <w:altName w:val="汉仪旗黑"/>
    <w:panose1 w:val="00000000000000000000"/>
    <w:charset w:val="00"/>
    <w:family w:val="auto"/>
    <w:pitch w:val="default"/>
    <w:sig w:usb0="00000000" w:usb1="00000000" w:usb2="00000000" w:usb3="00000000" w:csb0="00000000" w:csb1="00000000"/>
  </w:font>
  <w:font w:name="汉仪旗黑">
    <w:panose1 w:val="00020600040101010101"/>
    <w:charset w:val="86"/>
    <w:family w:val="auto"/>
    <w:pitch w:val="default"/>
    <w:sig w:usb0="A00002BF" w:usb1="1ACF7CFA" w:usb2="00000016" w:usb3="00000000" w:csb0="0004009F" w:csb1="DFD70000"/>
  </w:font>
  <w:font w:name="仿宋">
    <w:altName w:val="方正仿宋_GBK"/>
    <w:panose1 w:val="00000000000000000000"/>
    <w:charset w:val="00"/>
    <w:family w:val="auto"/>
    <w:pitch w:val="default"/>
    <w:sig w:usb0="00000000" w:usb1="00000000" w:usb2="00000000" w:usb3="00000000" w:csb0="0000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273BE2"/>
    <w:multiLevelType w:val="multilevel"/>
    <w:tmpl w:val="3D273BE2"/>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JiY2M1NTczZDBmNzU3N2QwMjZhYTM4YWNjYjVkN2IifQ=="/>
  </w:docVars>
  <w:rsids>
    <w:rsidRoot w:val="002513DD"/>
    <w:rsid w:val="000A4897"/>
    <w:rsid w:val="001D2197"/>
    <w:rsid w:val="002513DD"/>
    <w:rsid w:val="00300EBB"/>
    <w:rsid w:val="00380A54"/>
    <w:rsid w:val="004A1CCA"/>
    <w:rsid w:val="007247A7"/>
    <w:rsid w:val="007262EC"/>
    <w:rsid w:val="007D3514"/>
    <w:rsid w:val="00962155"/>
    <w:rsid w:val="00D75F27"/>
    <w:rsid w:val="00D97A0A"/>
    <w:rsid w:val="00DA07EE"/>
    <w:rsid w:val="00DA1D31"/>
    <w:rsid w:val="00E718B8"/>
    <w:rsid w:val="00E9728F"/>
    <w:rsid w:val="00EE114D"/>
    <w:rsid w:val="00F55486"/>
    <w:rsid w:val="00FF5E75"/>
    <w:rsid w:val="0BB21A9E"/>
    <w:rsid w:val="11AFE705"/>
    <w:rsid w:val="154A3F66"/>
    <w:rsid w:val="2C3709F5"/>
    <w:rsid w:val="7FFF9512"/>
    <w:rsid w:val="EFDFB0E2"/>
    <w:rsid w:val="FFEDF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7">
    <w:name w:val="表格文字"/>
    <w:basedOn w:val="1"/>
    <w:qFormat/>
    <w:uiPriority w:val="0"/>
    <w:pPr>
      <w:spacing w:before="25" w:after="25"/>
      <w:jc w:val="left"/>
    </w:pPr>
    <w:rPr>
      <w:rFonts w:ascii="Times New Roman" w:hAnsi="Times New Roman" w:eastAsia="宋体" w:cs="Times New Roman"/>
      <w:bCs/>
      <w:spacing w:val="10"/>
      <w:kern w:val="0"/>
      <w:sz w:val="24"/>
      <w:szCs w:val="20"/>
    </w:rPr>
  </w:style>
  <w:style w:type="paragraph" w:styleId="8">
    <w:name w:val="List Paragraph"/>
    <w:basedOn w:val="1"/>
    <w:qFormat/>
    <w:uiPriority w:val="34"/>
    <w:pPr>
      <w:ind w:firstLine="420" w:firstLineChars="200"/>
    </w:pPr>
  </w:style>
  <w:style w:type="character" w:customStyle="1" w:styleId="9">
    <w:name w:val="批注框文本 字符"/>
    <w:basedOn w:val="6"/>
    <w:link w:val="2"/>
    <w:semiHidden/>
    <w:qFormat/>
    <w:uiPriority w:val="99"/>
    <w:rPr>
      <w:sz w:val="18"/>
      <w:szCs w:val="18"/>
    </w:rPr>
  </w:style>
  <w:style w:type="character" w:customStyle="1" w:styleId="10">
    <w:name w:val="页眉 字符"/>
    <w:basedOn w:val="6"/>
    <w:link w:val="4"/>
    <w:uiPriority w:val="99"/>
    <w:rPr>
      <w:sz w:val="18"/>
      <w:szCs w:val="18"/>
    </w:rPr>
  </w:style>
  <w:style w:type="character" w:customStyle="1" w:styleId="11">
    <w:name w:val="页脚 字符"/>
    <w:basedOn w:val="6"/>
    <w:link w:val="3"/>
    <w:qFormat/>
    <w:uiPriority w:val="99"/>
    <w:rPr>
      <w:sz w:val="18"/>
      <w:szCs w:val="18"/>
    </w:rPr>
  </w:style>
  <w:style w:type="character" w:customStyle="1" w:styleId="12">
    <w:name w:val="font11"/>
    <w:basedOn w:val="6"/>
    <w:uiPriority w:val="0"/>
    <w:rPr>
      <w:rFonts w:hint="default" w:ascii="微软雅黑" w:hAnsi="微软雅黑" w:eastAsia="微软雅黑" w:cs="微软雅黑"/>
      <w:color w:val="000000"/>
      <w:sz w:val="22"/>
      <w:szCs w:val="22"/>
      <w:u w:val="none"/>
    </w:rPr>
  </w:style>
  <w:style w:type="character" w:customStyle="1" w:styleId="13">
    <w:name w:val="font31"/>
    <w:basedOn w:val="6"/>
    <w:uiPriority w:val="0"/>
    <w:rPr>
      <w:rFonts w:hint="default" w:ascii="微软雅黑" w:hAnsi="微软雅黑" w:eastAsia="微软雅黑" w:cs="微软雅黑"/>
      <w:b/>
      <w:bCs/>
      <w:color w:val="FF0000"/>
      <w:sz w:val="22"/>
      <w:szCs w:val="22"/>
      <w:u w:val="none"/>
    </w:rPr>
  </w:style>
  <w:style w:type="character" w:customStyle="1" w:styleId="14">
    <w:name w:val="font01"/>
    <w:basedOn w:val="6"/>
    <w:uiPriority w:val="0"/>
    <w:rPr>
      <w:rFonts w:hint="eastAsia" w:ascii="宋体" w:hAnsi="宋体" w:eastAsia="宋体" w:cs="宋体"/>
      <w:color w:val="000000"/>
      <w:sz w:val="22"/>
      <w:szCs w:val="22"/>
      <w:u w:val="none"/>
    </w:rPr>
  </w:style>
  <w:style w:type="character" w:customStyle="1" w:styleId="15">
    <w:name w:val="font41"/>
    <w:basedOn w:val="6"/>
    <w:uiPriority w:val="0"/>
    <w:rPr>
      <w:rFonts w:hint="eastAsia" w:ascii="宋体" w:hAnsi="宋体" w:eastAsia="宋体" w:cs="宋体"/>
      <w:b/>
      <w:bCs/>
      <w:color w:val="000000"/>
      <w:sz w:val="22"/>
      <w:szCs w:val="22"/>
      <w:u w:val="none"/>
    </w:rPr>
  </w:style>
  <w:style w:type="character" w:customStyle="1" w:styleId="16">
    <w:name w:val="font21"/>
    <w:basedOn w:val="6"/>
    <w:uiPriority w:val="0"/>
    <w:rPr>
      <w:rFonts w:hint="default"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32</Words>
  <Characters>184</Characters>
  <Lines>1</Lines>
  <Paragraphs>1</Paragraphs>
  <TotalTime>6</TotalTime>
  <ScaleCrop>false</ScaleCrop>
  <LinksUpToDate>false</LinksUpToDate>
  <CharactersWithSpaces>215</CharactersWithSpaces>
  <Application>WPS Office_6.2.2.8394_F1E327BC-269C-435d-A152-05C5408002CA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2023-06-19T15:19:00Z</dcterms:created>
  <dc:creator>薛阳</dc:creator>
  <cp:lastModifiedBy>贵哥</cp:lastModifiedBy>
  <dcterms:modified xsi:type="dcterms:W3CDTF">2023-11-06T15:46:51Z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2052-6.2.2.8394</vt:lpwstr>
  </property>
  <property fmtid="{D5CDD505-2E9C-101B-9397-08002B2CF9AE}" pid="3" name="ICV">
    <vt:lpwstr>8A031E1E315101173D974865199372C6_43</vt:lpwstr>
  </property>
</Properties>
</file>